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A5373" w14:textId="4456976F" w:rsidR="001B6C2C" w:rsidRDefault="005850DA" w:rsidP="00B265D2">
      <w:pPr>
        <w:spacing w:after="0" w:line="240" w:lineRule="auto"/>
        <w:jc w:val="center"/>
        <w:rPr>
          <w:b/>
          <w:sz w:val="32"/>
          <w:szCs w:val="32"/>
        </w:rPr>
      </w:pPr>
      <w:r>
        <w:rPr>
          <w:b/>
          <w:i/>
          <w:sz w:val="32"/>
          <w:szCs w:val="32"/>
        </w:rPr>
        <w:t>Adoption of Patty</w:t>
      </w:r>
      <w:r w:rsidR="001B6C2C">
        <w:rPr>
          <w:b/>
          <w:sz w:val="32"/>
          <w:szCs w:val="32"/>
        </w:rPr>
        <w:t xml:space="preserve"> Appellate Practice Tip:</w:t>
      </w:r>
    </w:p>
    <w:p w14:paraId="192739ED" w14:textId="4498F31A" w:rsidR="005850DA" w:rsidRPr="00121139" w:rsidRDefault="001B6C2C" w:rsidP="00B265D2">
      <w:pPr>
        <w:spacing w:after="0" w:line="240" w:lineRule="auto"/>
        <w:jc w:val="center"/>
        <w:rPr>
          <w:b/>
          <w:sz w:val="32"/>
          <w:szCs w:val="32"/>
        </w:rPr>
      </w:pPr>
      <w:r>
        <w:rPr>
          <w:b/>
          <w:sz w:val="32"/>
          <w:szCs w:val="32"/>
        </w:rPr>
        <w:t>Raising (and Preserving) Zoom Trial Problems</w:t>
      </w:r>
    </w:p>
    <w:p w14:paraId="175D6085" w14:textId="744C7F51" w:rsidR="005850DA" w:rsidRDefault="005850DA" w:rsidP="00B265D2">
      <w:pPr>
        <w:spacing w:after="0" w:line="240" w:lineRule="auto"/>
        <w:jc w:val="center"/>
        <w:rPr>
          <w:b/>
          <w:sz w:val="32"/>
          <w:szCs w:val="32"/>
        </w:rPr>
      </w:pPr>
    </w:p>
    <w:p w14:paraId="158F2265" w14:textId="48FC5032" w:rsidR="00351429" w:rsidRDefault="005850DA" w:rsidP="00B265D2">
      <w:pPr>
        <w:spacing w:after="0" w:line="240" w:lineRule="auto"/>
        <w:jc w:val="center"/>
        <w:rPr>
          <w:bCs/>
        </w:rPr>
      </w:pPr>
      <w:r w:rsidRPr="005850DA">
        <w:rPr>
          <w:bCs/>
        </w:rPr>
        <w:t>Prepared by Abby Salois, CAFL Appellate Panel Support Unit</w:t>
      </w:r>
    </w:p>
    <w:p w14:paraId="35BD3EB0" w14:textId="38C925D0" w:rsidR="005850DA" w:rsidRPr="005850DA" w:rsidRDefault="00351429" w:rsidP="00B265D2">
      <w:pPr>
        <w:spacing w:after="0" w:line="240" w:lineRule="auto"/>
        <w:jc w:val="center"/>
        <w:rPr>
          <w:bCs/>
        </w:rPr>
      </w:pPr>
      <w:r>
        <w:rPr>
          <w:bCs/>
        </w:rPr>
        <w:t>October 2022</w:t>
      </w:r>
    </w:p>
    <w:p w14:paraId="32051ED7" w14:textId="48942ED6" w:rsidR="00006CEB" w:rsidRPr="00006CEB" w:rsidRDefault="00006CEB" w:rsidP="00B265D2">
      <w:pPr>
        <w:spacing w:after="0" w:line="240" w:lineRule="auto"/>
        <w:jc w:val="both"/>
        <w:rPr>
          <w:b/>
        </w:rPr>
      </w:pPr>
    </w:p>
    <w:p w14:paraId="77C6A7C6" w14:textId="495BF619" w:rsidR="00006CEB" w:rsidRDefault="00006CEB" w:rsidP="00B265D2">
      <w:pPr>
        <w:spacing w:after="0" w:line="240" w:lineRule="auto"/>
        <w:jc w:val="both"/>
        <w:rPr>
          <w:bCs/>
        </w:rPr>
      </w:pPr>
      <w:r w:rsidRPr="00006CEB">
        <w:rPr>
          <w:bCs/>
        </w:rPr>
        <w:t xml:space="preserve">In </w:t>
      </w:r>
      <w:r w:rsidRPr="00006CEB">
        <w:rPr>
          <w:bCs/>
          <w:i/>
          <w:iCs/>
        </w:rPr>
        <w:t>Adoption of Patty</w:t>
      </w:r>
      <w:r w:rsidRPr="00006CEB">
        <w:rPr>
          <w:bCs/>
        </w:rPr>
        <w:t xml:space="preserve">, 489 Mass. 630 (2022), the SJC held that Zoom termination trials, in a time of pandemic, do </w:t>
      </w:r>
      <w:r w:rsidRPr="00006CEB">
        <w:rPr>
          <w:bCs/>
          <w:i/>
          <w:iCs/>
        </w:rPr>
        <w:t>not</w:t>
      </w:r>
      <w:r w:rsidRPr="00006CEB">
        <w:rPr>
          <w:bCs/>
        </w:rPr>
        <w:t xml:space="preserve"> present “a per se violation of due process provided that adequate safeguards are employed.” </w:t>
      </w:r>
      <w:r w:rsidR="001B6C2C">
        <w:rPr>
          <w:bCs/>
        </w:rPr>
        <w:t xml:space="preserve"> Not a surprise.  But the Zoom trial in </w:t>
      </w:r>
      <w:r w:rsidR="001B6C2C" w:rsidRPr="001B6C2C">
        <w:rPr>
          <w:bCs/>
          <w:i/>
        </w:rPr>
        <w:t>Patty</w:t>
      </w:r>
      <w:r w:rsidR="001B6C2C">
        <w:rPr>
          <w:bCs/>
        </w:rPr>
        <w:t xml:space="preserve"> lacked the necessary due process safeguards – to put it mildly, it was a disaster – so </w:t>
      </w:r>
      <w:r w:rsidRPr="00006CEB">
        <w:rPr>
          <w:bCs/>
        </w:rPr>
        <w:t xml:space="preserve">the </w:t>
      </w:r>
      <w:r w:rsidR="00351429">
        <w:rPr>
          <w:bCs/>
        </w:rPr>
        <w:t>SJC</w:t>
      </w:r>
      <w:r w:rsidRPr="00006CEB">
        <w:rPr>
          <w:bCs/>
        </w:rPr>
        <w:t xml:space="preserve"> vacated the decree and remanded the case for a new trial.</w:t>
      </w:r>
    </w:p>
    <w:p w14:paraId="0A987246" w14:textId="18171277" w:rsidR="001B6C2C" w:rsidRDefault="001B6C2C" w:rsidP="00B265D2">
      <w:pPr>
        <w:spacing w:after="0" w:line="240" w:lineRule="auto"/>
        <w:jc w:val="both"/>
        <w:rPr>
          <w:bCs/>
        </w:rPr>
      </w:pPr>
    </w:p>
    <w:p w14:paraId="619A46F6" w14:textId="7112D20F" w:rsidR="00463073" w:rsidRDefault="00463073" w:rsidP="00B265D2">
      <w:pPr>
        <w:spacing w:after="0" w:line="480" w:lineRule="auto"/>
        <w:jc w:val="both"/>
        <w:rPr>
          <w:bCs/>
        </w:rPr>
      </w:pPr>
      <w:r>
        <w:rPr>
          <w:bCs/>
        </w:rPr>
        <w:t>Here are the safeguards</w:t>
      </w:r>
      <w:r w:rsidR="001B6C2C">
        <w:rPr>
          <w:bCs/>
        </w:rPr>
        <w:t xml:space="preserve"> that the SJC required in a Zoom termination trial.  The court must</w:t>
      </w:r>
      <w:r>
        <w:rPr>
          <w:bCs/>
        </w:rPr>
        <w:t>:</w:t>
      </w:r>
    </w:p>
    <w:p w14:paraId="76A138AF" w14:textId="77777777" w:rsidR="00463073" w:rsidRPr="00150C72" w:rsidRDefault="00463073" w:rsidP="00B265D2">
      <w:pPr>
        <w:pStyle w:val="ListParagraph"/>
        <w:numPr>
          <w:ilvl w:val="0"/>
          <w:numId w:val="2"/>
        </w:numPr>
        <w:spacing w:after="0" w:line="240" w:lineRule="auto"/>
        <w:ind w:left="720"/>
        <w:jc w:val="both"/>
        <w:rPr>
          <w:rFonts w:ascii="Times New Roman" w:hAnsi="Times New Roman" w:cs="Times New Roman"/>
          <w:sz w:val="24"/>
          <w:szCs w:val="24"/>
        </w:rPr>
      </w:pPr>
      <w:r w:rsidRPr="00150C72">
        <w:rPr>
          <w:rFonts w:ascii="Times New Roman" w:hAnsi="Times New Roman" w:cs="Times New Roman"/>
          <w:sz w:val="24"/>
          <w:szCs w:val="24"/>
        </w:rPr>
        <w:t xml:space="preserve">inquire, before trial, as to whether the parent has access to the technology necessary to participate via Zoom.  If the parent lacks that technology, the court should determine what steps are necessary to help her get it.  </w:t>
      </w:r>
      <w:r w:rsidRPr="00150C72">
        <w:rPr>
          <w:rFonts w:ascii="Times New Roman" w:hAnsi="Times New Roman" w:cs="Times New Roman"/>
          <w:i/>
          <w:sz w:val="24"/>
          <w:szCs w:val="24"/>
        </w:rPr>
        <w:t>Id</w:t>
      </w:r>
      <w:r w:rsidRPr="00150C72">
        <w:rPr>
          <w:rFonts w:ascii="Times New Roman" w:hAnsi="Times New Roman" w:cs="Times New Roman"/>
          <w:sz w:val="24"/>
          <w:szCs w:val="24"/>
        </w:rPr>
        <w:t>. at 645.</w:t>
      </w:r>
    </w:p>
    <w:p w14:paraId="2208924E" w14:textId="77777777" w:rsidR="00463073" w:rsidRPr="00150C72" w:rsidRDefault="00463073" w:rsidP="00B265D2">
      <w:pPr>
        <w:pStyle w:val="ListParagraph"/>
        <w:numPr>
          <w:ilvl w:val="0"/>
          <w:numId w:val="2"/>
        </w:numPr>
        <w:spacing w:after="0" w:line="240" w:lineRule="auto"/>
        <w:ind w:left="720"/>
        <w:jc w:val="both"/>
        <w:rPr>
          <w:rFonts w:ascii="Times New Roman" w:hAnsi="Times New Roman" w:cs="Times New Roman"/>
          <w:sz w:val="24"/>
          <w:szCs w:val="24"/>
        </w:rPr>
      </w:pPr>
      <w:r w:rsidRPr="00150C72">
        <w:rPr>
          <w:rFonts w:ascii="Times New Roman" w:hAnsi="Times New Roman"/>
          <w:color w:val="000000"/>
          <w:sz w:val="24"/>
          <w:szCs w:val="24"/>
        </w:rPr>
        <w:t xml:space="preserve">ensure, preferably in advance of the hearing, that the </w:t>
      </w:r>
      <w:r>
        <w:rPr>
          <w:rFonts w:ascii="Times New Roman" w:hAnsi="Times New Roman"/>
          <w:color w:val="000000"/>
          <w:sz w:val="24"/>
          <w:szCs w:val="24"/>
        </w:rPr>
        <w:t>parent</w:t>
      </w:r>
      <w:r w:rsidRPr="00150C72">
        <w:rPr>
          <w:rFonts w:ascii="Times New Roman" w:hAnsi="Times New Roman"/>
          <w:color w:val="000000"/>
          <w:sz w:val="24"/>
          <w:szCs w:val="24"/>
        </w:rPr>
        <w:t xml:space="preserve"> understand</w:t>
      </w:r>
      <w:r>
        <w:rPr>
          <w:rFonts w:ascii="Times New Roman" w:hAnsi="Times New Roman"/>
          <w:color w:val="000000"/>
          <w:sz w:val="24"/>
          <w:szCs w:val="24"/>
        </w:rPr>
        <w:t>s</w:t>
      </w:r>
      <w:r w:rsidRPr="00150C72">
        <w:rPr>
          <w:rFonts w:ascii="Times New Roman" w:hAnsi="Times New Roman"/>
          <w:color w:val="000000"/>
          <w:sz w:val="24"/>
          <w:szCs w:val="24"/>
        </w:rPr>
        <w:t xml:space="preserve"> the procedures to be used when the technology does not work as intended (that is, how to re-connect to the Zoom hearing, how to reach the clerk’s office</w:t>
      </w:r>
      <w:r>
        <w:rPr>
          <w:rFonts w:ascii="Times New Roman" w:hAnsi="Times New Roman"/>
          <w:color w:val="000000"/>
          <w:sz w:val="24"/>
          <w:szCs w:val="24"/>
        </w:rPr>
        <w:t>,</w:t>
      </w:r>
      <w:r w:rsidRPr="00150C72">
        <w:rPr>
          <w:rFonts w:ascii="Times New Roman" w:hAnsi="Times New Roman"/>
          <w:color w:val="000000"/>
          <w:sz w:val="24"/>
          <w:szCs w:val="24"/>
        </w:rPr>
        <w:t xml:space="preserve"> how to reach counsel, etc.). </w:t>
      </w:r>
      <w:r w:rsidRPr="00150C72">
        <w:rPr>
          <w:rFonts w:ascii="Times New Roman" w:hAnsi="Times New Roman" w:cs="Times New Roman"/>
          <w:sz w:val="24"/>
          <w:szCs w:val="24"/>
        </w:rPr>
        <w:t xml:space="preserve"> </w:t>
      </w:r>
      <w:r w:rsidRPr="00150C72">
        <w:rPr>
          <w:rFonts w:ascii="Times New Roman" w:hAnsi="Times New Roman" w:cs="Times New Roman"/>
          <w:i/>
          <w:sz w:val="24"/>
          <w:szCs w:val="24"/>
        </w:rPr>
        <w:t>Id</w:t>
      </w:r>
      <w:r w:rsidRPr="00150C72">
        <w:rPr>
          <w:rFonts w:ascii="Times New Roman" w:hAnsi="Times New Roman" w:cs="Times New Roman"/>
          <w:sz w:val="24"/>
          <w:szCs w:val="24"/>
        </w:rPr>
        <w:t>. at 648.</w:t>
      </w:r>
    </w:p>
    <w:p w14:paraId="3DE17036" w14:textId="77777777" w:rsidR="00463073" w:rsidRPr="00150C72" w:rsidRDefault="00463073" w:rsidP="00B265D2">
      <w:pPr>
        <w:pStyle w:val="ListParagraph"/>
        <w:numPr>
          <w:ilvl w:val="0"/>
          <w:numId w:val="2"/>
        </w:numPr>
        <w:spacing w:after="0" w:line="240" w:lineRule="auto"/>
        <w:ind w:left="720"/>
        <w:jc w:val="both"/>
        <w:rPr>
          <w:rFonts w:ascii="Times New Roman" w:hAnsi="Times New Roman" w:cs="Times New Roman"/>
          <w:sz w:val="24"/>
          <w:szCs w:val="24"/>
        </w:rPr>
      </w:pPr>
      <w:r w:rsidRPr="00150C72">
        <w:rPr>
          <w:rFonts w:ascii="Times New Roman" w:hAnsi="Times New Roman" w:cs="Times New Roman"/>
          <w:sz w:val="24"/>
          <w:szCs w:val="24"/>
        </w:rPr>
        <w:t xml:space="preserve">explain, and provide access to, the private “breakout room” Zoom function so that </w:t>
      </w:r>
      <w:r>
        <w:rPr>
          <w:rFonts w:ascii="Times New Roman" w:hAnsi="Times New Roman" w:cs="Times New Roman"/>
          <w:sz w:val="24"/>
          <w:szCs w:val="24"/>
        </w:rPr>
        <w:t>parents</w:t>
      </w:r>
      <w:r w:rsidRPr="00150C72">
        <w:rPr>
          <w:rFonts w:ascii="Times New Roman" w:hAnsi="Times New Roman" w:cs="Times New Roman"/>
          <w:sz w:val="24"/>
          <w:szCs w:val="24"/>
        </w:rPr>
        <w:t xml:space="preserve"> can consult with counsel or stand-by counsel at any time during trial.  </w:t>
      </w:r>
      <w:r w:rsidRPr="00150C72">
        <w:rPr>
          <w:rFonts w:ascii="Times New Roman" w:hAnsi="Times New Roman" w:cs="Times New Roman"/>
          <w:i/>
          <w:sz w:val="24"/>
          <w:szCs w:val="24"/>
        </w:rPr>
        <w:t>Id</w:t>
      </w:r>
      <w:r w:rsidRPr="00150C72">
        <w:rPr>
          <w:rFonts w:ascii="Times New Roman" w:hAnsi="Times New Roman" w:cs="Times New Roman"/>
          <w:sz w:val="24"/>
          <w:szCs w:val="24"/>
        </w:rPr>
        <w:t xml:space="preserve">. at 645-46.  </w:t>
      </w:r>
    </w:p>
    <w:p w14:paraId="0C9A9219" w14:textId="77777777" w:rsidR="00463073" w:rsidRPr="00150C72" w:rsidRDefault="00463073" w:rsidP="00B265D2">
      <w:pPr>
        <w:pStyle w:val="ListParagraph"/>
        <w:numPr>
          <w:ilvl w:val="0"/>
          <w:numId w:val="2"/>
        </w:numPr>
        <w:spacing w:after="0" w:line="240" w:lineRule="auto"/>
        <w:ind w:left="720"/>
        <w:jc w:val="both"/>
        <w:rPr>
          <w:rFonts w:ascii="Times New Roman" w:hAnsi="Times New Roman" w:cs="Times New Roman"/>
          <w:sz w:val="24"/>
          <w:szCs w:val="24"/>
        </w:rPr>
      </w:pPr>
      <w:r w:rsidRPr="00150C72">
        <w:rPr>
          <w:rFonts w:ascii="Times New Roman" w:hAnsi="Times New Roman" w:cs="Times New Roman"/>
          <w:sz w:val="24"/>
          <w:szCs w:val="24"/>
        </w:rPr>
        <w:t xml:space="preserve">explain how to offer exhibits and share documents using </w:t>
      </w:r>
      <w:r>
        <w:rPr>
          <w:rFonts w:ascii="Times New Roman" w:hAnsi="Times New Roman" w:cs="Times New Roman"/>
          <w:sz w:val="24"/>
          <w:szCs w:val="24"/>
        </w:rPr>
        <w:t xml:space="preserve">the </w:t>
      </w:r>
      <w:r w:rsidRPr="00150C72">
        <w:rPr>
          <w:rFonts w:ascii="Times New Roman" w:hAnsi="Times New Roman" w:cs="Times New Roman"/>
          <w:sz w:val="24"/>
          <w:szCs w:val="24"/>
        </w:rPr>
        <w:t xml:space="preserve">“share screen” </w:t>
      </w:r>
      <w:r>
        <w:rPr>
          <w:rFonts w:ascii="Times New Roman" w:hAnsi="Times New Roman" w:cs="Times New Roman"/>
          <w:sz w:val="24"/>
          <w:szCs w:val="24"/>
        </w:rPr>
        <w:t xml:space="preserve">(or similar) function </w:t>
      </w:r>
      <w:r w:rsidRPr="00150C72">
        <w:rPr>
          <w:rFonts w:ascii="Times New Roman" w:hAnsi="Times New Roman" w:cs="Times New Roman"/>
          <w:sz w:val="24"/>
          <w:szCs w:val="24"/>
        </w:rPr>
        <w:t xml:space="preserve">during trial.  If </w:t>
      </w:r>
      <w:r>
        <w:rPr>
          <w:rFonts w:ascii="Times New Roman" w:hAnsi="Times New Roman" w:cs="Times New Roman"/>
          <w:sz w:val="24"/>
          <w:szCs w:val="24"/>
        </w:rPr>
        <w:t xml:space="preserve">a </w:t>
      </w:r>
      <w:r w:rsidRPr="004377F4">
        <w:rPr>
          <w:rFonts w:ascii="Times New Roman" w:hAnsi="Times New Roman" w:cs="Times New Roman"/>
          <w:i/>
          <w:sz w:val="24"/>
          <w:szCs w:val="24"/>
        </w:rPr>
        <w:t>pro se</w:t>
      </w:r>
      <w:r w:rsidRPr="00150C72">
        <w:rPr>
          <w:rFonts w:ascii="Times New Roman" w:hAnsi="Times New Roman" w:cs="Times New Roman"/>
          <w:sz w:val="24"/>
          <w:szCs w:val="24"/>
        </w:rPr>
        <w:t xml:space="preserve"> </w:t>
      </w:r>
      <w:r>
        <w:rPr>
          <w:rFonts w:ascii="Times New Roman" w:hAnsi="Times New Roman" w:cs="Times New Roman"/>
          <w:sz w:val="24"/>
          <w:szCs w:val="24"/>
        </w:rPr>
        <w:t>parent</w:t>
      </w:r>
      <w:r w:rsidRPr="00150C72">
        <w:rPr>
          <w:rFonts w:ascii="Times New Roman" w:hAnsi="Times New Roman" w:cs="Times New Roman"/>
          <w:sz w:val="24"/>
          <w:szCs w:val="24"/>
        </w:rPr>
        <w:t xml:space="preserve"> is participating by phone, the court must ensure that all exhibits and other documents are shared ahead of time.  </w:t>
      </w:r>
      <w:r w:rsidRPr="00150C72">
        <w:rPr>
          <w:rFonts w:ascii="Times New Roman" w:hAnsi="Times New Roman" w:cs="Times New Roman"/>
          <w:i/>
          <w:sz w:val="24"/>
          <w:szCs w:val="24"/>
        </w:rPr>
        <w:t>Id</w:t>
      </w:r>
      <w:r w:rsidRPr="00150C72">
        <w:rPr>
          <w:rFonts w:ascii="Times New Roman" w:hAnsi="Times New Roman" w:cs="Times New Roman"/>
          <w:sz w:val="24"/>
          <w:szCs w:val="24"/>
        </w:rPr>
        <w:t>. at 646.</w:t>
      </w:r>
    </w:p>
    <w:p w14:paraId="20E391B1" w14:textId="77777777" w:rsidR="00463073" w:rsidRDefault="00463073" w:rsidP="00B265D2">
      <w:pPr>
        <w:spacing w:after="0" w:line="240" w:lineRule="auto"/>
        <w:jc w:val="both"/>
      </w:pPr>
    </w:p>
    <w:p w14:paraId="5558E726" w14:textId="180FDFFA" w:rsidR="00463073" w:rsidRPr="00926DEF" w:rsidRDefault="00463073" w:rsidP="00B265D2">
      <w:pPr>
        <w:spacing w:after="0" w:line="240" w:lineRule="auto"/>
        <w:jc w:val="both"/>
      </w:pPr>
      <w:r>
        <w:t>If technological problems cannot be fixed, or parents (or their counsel) cannot be reached, the court must suspend the proceedings until the problems are fixed or the court has an explanation for why the parent is not participating. If a parent cannot timely reconnect, the court must explore other options, such as giving the parent time to review missed testimony before conducting cross-examination.</w:t>
      </w:r>
      <w:r w:rsidR="00926DEF">
        <w:t xml:space="preserve"> </w:t>
      </w:r>
      <w:r w:rsidR="00926DEF">
        <w:rPr>
          <w:i/>
          <w:iCs/>
        </w:rPr>
        <w:t>Id</w:t>
      </w:r>
      <w:r w:rsidR="00926DEF">
        <w:t xml:space="preserve">. </w:t>
      </w:r>
      <w:r w:rsidR="006D64BE">
        <w:t>a</w:t>
      </w:r>
      <w:r w:rsidR="00926DEF">
        <w:t xml:space="preserve">t 647. </w:t>
      </w:r>
    </w:p>
    <w:p w14:paraId="1A78BB08" w14:textId="77777777" w:rsidR="00006CEB" w:rsidRDefault="00006CEB" w:rsidP="00B265D2">
      <w:pPr>
        <w:spacing w:after="0" w:line="240" w:lineRule="auto"/>
        <w:jc w:val="both"/>
        <w:rPr>
          <w:b/>
        </w:rPr>
      </w:pPr>
    </w:p>
    <w:p w14:paraId="236C85B9" w14:textId="6819161E" w:rsidR="005850DA" w:rsidRPr="00F8459D" w:rsidRDefault="00F8459D" w:rsidP="00B265D2">
      <w:pPr>
        <w:spacing w:after="0" w:line="240" w:lineRule="auto"/>
        <w:jc w:val="both"/>
        <w:rPr>
          <w:b/>
        </w:rPr>
      </w:pPr>
      <w:r>
        <w:rPr>
          <w:b/>
        </w:rPr>
        <w:t xml:space="preserve">The Road to </w:t>
      </w:r>
      <w:r>
        <w:rPr>
          <w:b/>
          <w:i/>
          <w:iCs/>
        </w:rPr>
        <w:t>Patty</w:t>
      </w:r>
      <w:r>
        <w:rPr>
          <w:b/>
        </w:rPr>
        <w:t>:</w:t>
      </w:r>
    </w:p>
    <w:p w14:paraId="13413EED" w14:textId="77777777" w:rsidR="001E27DE" w:rsidRDefault="001E27DE" w:rsidP="00B265D2">
      <w:pPr>
        <w:spacing w:after="0" w:line="240" w:lineRule="auto"/>
        <w:jc w:val="both"/>
        <w:rPr>
          <w:bCs/>
          <w:u w:val="single"/>
        </w:rPr>
      </w:pPr>
    </w:p>
    <w:p w14:paraId="319A66E0" w14:textId="2DA0A4F8" w:rsidR="005C47DA" w:rsidRDefault="001E27DE" w:rsidP="00B265D2">
      <w:pPr>
        <w:spacing w:after="0" w:line="240" w:lineRule="auto"/>
        <w:jc w:val="both"/>
        <w:rPr>
          <w:bCs/>
        </w:rPr>
      </w:pPr>
      <w:r w:rsidRPr="001E27DE">
        <w:rPr>
          <w:bCs/>
          <w:i/>
          <w:iCs/>
        </w:rPr>
        <w:t>Patty</w:t>
      </w:r>
      <w:r w:rsidRPr="001E27DE">
        <w:rPr>
          <w:bCs/>
        </w:rPr>
        <w:t xml:space="preserve"> </w:t>
      </w:r>
      <w:r>
        <w:rPr>
          <w:bCs/>
        </w:rPr>
        <w:t>i</w:t>
      </w:r>
      <w:r w:rsidRPr="001E27DE">
        <w:rPr>
          <w:bCs/>
        </w:rPr>
        <w:t xml:space="preserve">s just one in a long line of </w:t>
      </w:r>
      <w:r w:rsidR="00753C46">
        <w:rPr>
          <w:bCs/>
        </w:rPr>
        <w:t>fantastic</w:t>
      </w:r>
      <w:r w:rsidRPr="001E27DE">
        <w:rPr>
          <w:bCs/>
        </w:rPr>
        <w:t xml:space="preserve"> due process cases</w:t>
      </w:r>
      <w:r>
        <w:rPr>
          <w:bCs/>
        </w:rPr>
        <w:t xml:space="preserve"> – like </w:t>
      </w:r>
      <w:r>
        <w:rPr>
          <w:bCs/>
          <w:i/>
          <w:iCs/>
        </w:rPr>
        <w:t xml:space="preserve">Rory, Jacqui, Parker, Edmund, </w:t>
      </w:r>
      <w:r>
        <w:rPr>
          <w:bCs/>
        </w:rPr>
        <w:t xml:space="preserve">and </w:t>
      </w:r>
      <w:r>
        <w:rPr>
          <w:bCs/>
          <w:i/>
          <w:iCs/>
        </w:rPr>
        <w:t>Whitney</w:t>
      </w:r>
      <w:r w:rsidR="00351429">
        <w:rPr>
          <w:bCs/>
          <w:i/>
          <w:iCs/>
        </w:rPr>
        <w:t xml:space="preserve"> – </w:t>
      </w:r>
      <w:r w:rsidRPr="001E27DE">
        <w:rPr>
          <w:bCs/>
        </w:rPr>
        <w:t xml:space="preserve">where the deprivation was so great that the </w:t>
      </w:r>
      <w:r w:rsidR="00351429">
        <w:rPr>
          <w:bCs/>
        </w:rPr>
        <w:t>appellate c</w:t>
      </w:r>
      <w:r w:rsidRPr="001E27DE">
        <w:rPr>
          <w:bCs/>
        </w:rPr>
        <w:t>ourt didn’t even look at harm or prejudice.</w:t>
      </w:r>
      <w:r w:rsidR="00926DEF">
        <w:rPr>
          <w:rStyle w:val="FootnoteReference"/>
          <w:bCs/>
        </w:rPr>
        <w:footnoteReference w:id="1"/>
      </w:r>
      <w:r>
        <w:rPr>
          <w:bCs/>
        </w:rPr>
        <w:t xml:space="preserve"> </w:t>
      </w:r>
      <w:r w:rsidR="001B6C2C">
        <w:rPr>
          <w:bCs/>
        </w:rPr>
        <w:t xml:space="preserve"> </w:t>
      </w:r>
      <w:r w:rsidRPr="001E27DE">
        <w:rPr>
          <w:bCs/>
        </w:rPr>
        <w:t>That’s hugely importan</w:t>
      </w:r>
      <w:r>
        <w:rPr>
          <w:bCs/>
        </w:rPr>
        <w:t>t! I</w:t>
      </w:r>
      <w:r w:rsidRPr="001E27DE">
        <w:rPr>
          <w:bCs/>
        </w:rPr>
        <w:t xml:space="preserve">f a parent can’t meaningfully participate in the </w:t>
      </w:r>
      <w:r w:rsidRPr="001E27DE">
        <w:rPr>
          <w:bCs/>
        </w:rPr>
        <w:lastRenderedPageBreak/>
        <w:t>proceedings, then it’s wrong to even consider whether a sham trial made a difference to the outcome.</w:t>
      </w:r>
    </w:p>
    <w:p w14:paraId="1BEA75ED" w14:textId="77777777" w:rsidR="00506812" w:rsidRDefault="00506812" w:rsidP="00B265D2">
      <w:pPr>
        <w:spacing w:after="0" w:line="240" w:lineRule="auto"/>
        <w:jc w:val="both"/>
        <w:rPr>
          <w:bCs/>
        </w:rPr>
      </w:pPr>
    </w:p>
    <w:p w14:paraId="138881E3" w14:textId="31C0EBE8" w:rsidR="005C47DA" w:rsidRDefault="005C47DA" w:rsidP="00B265D2">
      <w:pPr>
        <w:spacing w:after="0" w:line="240" w:lineRule="auto"/>
        <w:jc w:val="both"/>
      </w:pPr>
      <w:r>
        <w:t xml:space="preserve">Before its decision in </w:t>
      </w:r>
      <w:r>
        <w:rPr>
          <w:i/>
          <w:iCs/>
        </w:rPr>
        <w:t xml:space="preserve">Patty, </w:t>
      </w:r>
      <w:r>
        <w:t xml:space="preserve">the </w:t>
      </w:r>
      <w:r w:rsidR="00F27D6D">
        <w:t xml:space="preserve">SJC </w:t>
      </w:r>
      <w:r w:rsidR="00497AA0">
        <w:t>had already dealt with</w:t>
      </w:r>
      <w:r>
        <w:t xml:space="preserve"> the issue of Zoom trials in the criminal context. In </w:t>
      </w:r>
      <w:r w:rsidRPr="00907F81">
        <w:rPr>
          <w:i/>
        </w:rPr>
        <w:t>Vasquez Diaz v. Commonwealth</w:t>
      </w:r>
      <w:r>
        <w:t>, 487 Mass. 336 (2021),</w:t>
      </w:r>
      <w:r w:rsidRPr="00907F81">
        <w:rPr>
          <w:i/>
        </w:rPr>
        <w:t xml:space="preserve"> </w:t>
      </w:r>
      <w:r>
        <w:t xml:space="preserve">and </w:t>
      </w:r>
      <w:r w:rsidRPr="00907F81">
        <w:rPr>
          <w:i/>
        </w:rPr>
        <w:t>Commonwealth v. Curran</w:t>
      </w:r>
      <w:r>
        <w:t xml:space="preserve">, 488 Mass. 792 (2021), the </w:t>
      </w:r>
      <w:r w:rsidR="00F27D6D">
        <w:t xml:space="preserve">Court </w:t>
      </w:r>
      <w:r>
        <w:t xml:space="preserve">considered whether post-pandemic virtual hearings in criminal matters violated defendants’ Sixth Amendment rights to confrontation, presence, and public trial.  The SJC concluded that they did not, primarily because, in both cases, the technology worked well; the Zoom hearings were much like in-person hearings.  </w:t>
      </w:r>
    </w:p>
    <w:p w14:paraId="7689200F" w14:textId="77777777" w:rsidR="00506812" w:rsidRDefault="00506812" w:rsidP="00B265D2">
      <w:pPr>
        <w:spacing w:after="0" w:line="240" w:lineRule="auto"/>
        <w:ind w:firstLine="720"/>
        <w:jc w:val="both"/>
      </w:pPr>
    </w:p>
    <w:p w14:paraId="6BDCFFDD" w14:textId="1046662E" w:rsidR="005C47DA" w:rsidRPr="005C47DA" w:rsidRDefault="005C47DA" w:rsidP="00B265D2">
      <w:pPr>
        <w:spacing w:after="0" w:line="240" w:lineRule="auto"/>
        <w:jc w:val="both"/>
      </w:pPr>
      <w:r>
        <w:t>Our cases, of course, are not criminal in nature</w:t>
      </w:r>
      <w:r w:rsidR="00506812">
        <w:t xml:space="preserve"> and</w:t>
      </w:r>
      <w:r>
        <w:t xml:space="preserve"> parents do not enjoy </w:t>
      </w:r>
      <w:r w:rsidR="00351429">
        <w:t>Sixth Amendment (</w:t>
      </w:r>
      <w:r>
        <w:t>confrontation, presence, or public trial</w:t>
      </w:r>
      <w:r w:rsidR="00351429">
        <w:t>)</w:t>
      </w:r>
      <w:r>
        <w:t xml:space="preserve"> rights.</w:t>
      </w:r>
      <w:r w:rsidR="00B265D2">
        <w:t xml:space="preserve"> </w:t>
      </w:r>
      <w:r w:rsidR="00B265D2">
        <w:rPr>
          <w:i/>
          <w:iCs/>
        </w:rPr>
        <w:t>See</w:t>
      </w:r>
      <w:r w:rsidR="00B265D2">
        <w:t xml:space="preserve">, </w:t>
      </w:r>
      <w:r w:rsidR="00B265D2" w:rsidRPr="005E7E0F">
        <w:t>e.g.</w:t>
      </w:r>
      <w:r w:rsidR="00B265D2">
        <w:rPr>
          <w:i/>
          <w:iCs/>
        </w:rPr>
        <w:t xml:space="preserve"> Custody of Two Minors</w:t>
      </w:r>
      <w:r w:rsidR="00B265D2">
        <w:t>, 396 Mass. 610, 616 1986 (“The full panoply of constitutional rights afforded to criminal defendants does not apply in these cases.”)</w:t>
      </w:r>
      <w:r>
        <w:t xml:space="preserve"> “Fair trial” rights for parents are grounded </w:t>
      </w:r>
      <w:r w:rsidRPr="0066759F">
        <w:t xml:space="preserve">in procedural due process, which is flexible and </w:t>
      </w:r>
      <w:r>
        <w:t>offers</w:t>
      </w:r>
      <w:r w:rsidRPr="0066759F">
        <w:t xml:space="preserve"> weaker </w:t>
      </w:r>
      <w:r>
        <w:t xml:space="preserve">protections </w:t>
      </w:r>
      <w:r w:rsidRPr="0066759F">
        <w:t xml:space="preserve">than those afforded </w:t>
      </w:r>
      <w:r>
        <w:t>under the Sixth Amendment</w:t>
      </w:r>
      <w:r w:rsidRPr="0066759F">
        <w:t>.</w:t>
      </w:r>
      <w:r w:rsidR="00463073">
        <w:t xml:space="preserve"> </w:t>
      </w:r>
      <w:r>
        <w:t xml:space="preserve">What sets </w:t>
      </w:r>
      <w:r>
        <w:rPr>
          <w:i/>
          <w:iCs/>
        </w:rPr>
        <w:t>Patty</w:t>
      </w:r>
      <w:r>
        <w:t xml:space="preserve"> apart from </w:t>
      </w:r>
      <w:r>
        <w:rPr>
          <w:i/>
          <w:iCs/>
        </w:rPr>
        <w:t xml:space="preserve">Vasquez Diaz </w:t>
      </w:r>
      <w:r>
        <w:t xml:space="preserve">and </w:t>
      </w:r>
      <w:proofErr w:type="spellStart"/>
      <w:r>
        <w:rPr>
          <w:i/>
          <w:iCs/>
        </w:rPr>
        <w:t>Curren</w:t>
      </w:r>
      <w:proofErr w:type="spellEnd"/>
      <w:r>
        <w:t xml:space="preserve"> is that the virtual trial in </w:t>
      </w:r>
      <w:r>
        <w:rPr>
          <w:i/>
          <w:iCs/>
        </w:rPr>
        <w:t>Patty</w:t>
      </w:r>
      <w:r>
        <w:t xml:space="preserve"> was a technological </w:t>
      </w:r>
      <w:r w:rsidR="00351429">
        <w:t>nightmare</w:t>
      </w:r>
      <w:r>
        <w:t xml:space="preserve">. </w:t>
      </w:r>
    </w:p>
    <w:p w14:paraId="53A40029" w14:textId="55A707E0" w:rsidR="005850DA" w:rsidRDefault="005850DA" w:rsidP="00B265D2">
      <w:pPr>
        <w:spacing w:after="0" w:line="240" w:lineRule="auto"/>
        <w:jc w:val="both"/>
        <w:rPr>
          <w:bCs/>
        </w:rPr>
      </w:pPr>
    </w:p>
    <w:p w14:paraId="03E5F432" w14:textId="069CA8D1" w:rsidR="005850DA" w:rsidRDefault="00351429" w:rsidP="00B265D2">
      <w:pPr>
        <w:spacing w:after="0" w:line="240" w:lineRule="auto"/>
        <w:jc w:val="both"/>
        <w:rPr>
          <w:b/>
          <w:i/>
          <w:iCs/>
        </w:rPr>
      </w:pPr>
      <w:r>
        <w:rPr>
          <w:b/>
        </w:rPr>
        <w:t xml:space="preserve">What Happened in </w:t>
      </w:r>
      <w:r w:rsidRPr="00351429">
        <w:rPr>
          <w:b/>
          <w:i/>
        </w:rPr>
        <w:t>Patty</w:t>
      </w:r>
      <w:r w:rsidR="00F8459D">
        <w:rPr>
          <w:b/>
        </w:rPr>
        <w:t>:</w:t>
      </w:r>
    </w:p>
    <w:p w14:paraId="1FD6E3D1" w14:textId="77777777" w:rsidR="00506812" w:rsidRPr="00422B06" w:rsidRDefault="00506812" w:rsidP="00B265D2">
      <w:pPr>
        <w:spacing w:after="0" w:line="240" w:lineRule="auto"/>
        <w:jc w:val="both"/>
        <w:rPr>
          <w:b/>
          <w:i/>
          <w:iCs/>
        </w:rPr>
      </w:pPr>
    </w:p>
    <w:p w14:paraId="4C5938C1" w14:textId="24EC8F8B" w:rsidR="00422B06" w:rsidRDefault="00422B06" w:rsidP="00B265D2">
      <w:pPr>
        <w:spacing w:after="0" w:line="240" w:lineRule="auto"/>
        <w:jc w:val="both"/>
      </w:pPr>
      <w:r>
        <w:t>I</w:t>
      </w:r>
      <w:r w:rsidRPr="008E59FD">
        <w:t xml:space="preserve">n September 2020, </w:t>
      </w:r>
      <w:r>
        <w:t xml:space="preserve">the Juvenile Court </w:t>
      </w:r>
      <w:r w:rsidR="00351429">
        <w:t xml:space="preserve">in </w:t>
      </w:r>
      <w:r w:rsidR="00351429" w:rsidRPr="00351429">
        <w:rPr>
          <w:i/>
        </w:rPr>
        <w:t>Patty</w:t>
      </w:r>
      <w:r w:rsidR="00351429">
        <w:t xml:space="preserve"> </w:t>
      </w:r>
      <w:r>
        <w:t xml:space="preserve">held </w:t>
      </w:r>
      <w:r w:rsidRPr="008E59FD">
        <w:t xml:space="preserve">a </w:t>
      </w:r>
      <w:r>
        <w:t xml:space="preserve">Zoom </w:t>
      </w:r>
      <w:r w:rsidR="00506812">
        <w:t>termination of parental rights trial</w:t>
      </w:r>
      <w:r w:rsidRPr="008E59FD">
        <w:t xml:space="preserve">. </w:t>
      </w:r>
      <w:r>
        <w:t>The</w:t>
      </w:r>
      <w:r w:rsidR="00F8459D">
        <w:t xml:space="preserve"> </w:t>
      </w:r>
      <w:r w:rsidR="00F8459D">
        <w:rPr>
          <w:i/>
          <w:iCs/>
        </w:rPr>
        <w:t>pro se</w:t>
      </w:r>
      <w:r>
        <w:t xml:space="preserve"> mother</w:t>
      </w:r>
      <w:r w:rsidR="005668FB">
        <w:t xml:space="preserve"> </w:t>
      </w:r>
      <w:r>
        <w:t>objected and asked for an in-person trial.</w:t>
      </w:r>
      <w:r w:rsidR="005668FB">
        <w:t xml:space="preserve"> She</w:t>
      </w:r>
      <w:r>
        <w:t xml:space="preserve"> had no video connectivity; she</w:t>
      </w:r>
      <w:r w:rsidR="00E7323F">
        <w:t xml:space="preserve"> could participate only by cell</w:t>
      </w:r>
      <w:r>
        <w:t>phone audio.</w:t>
      </w:r>
      <w:r w:rsidR="005668FB">
        <w:t xml:space="preserve"> </w:t>
      </w:r>
      <w:r>
        <w:t xml:space="preserve">The court insisted on going forward anyway.  </w:t>
      </w:r>
    </w:p>
    <w:p w14:paraId="05F363E9" w14:textId="77777777" w:rsidR="00506812" w:rsidRDefault="00506812" w:rsidP="00B265D2">
      <w:pPr>
        <w:spacing w:after="0" w:line="240" w:lineRule="auto"/>
        <w:jc w:val="both"/>
      </w:pPr>
    </w:p>
    <w:p w14:paraId="4BDF6BBD" w14:textId="6959E9B1" w:rsidR="005850DA" w:rsidRDefault="00422B06" w:rsidP="00B265D2">
      <w:pPr>
        <w:spacing w:after="0" w:line="240" w:lineRule="auto"/>
        <w:jc w:val="both"/>
      </w:pPr>
      <w:r>
        <w:t>Technological problems started immediately.</w:t>
      </w:r>
      <w:r w:rsidR="005668FB">
        <w:t xml:space="preserve"> </w:t>
      </w:r>
      <w:r>
        <w:t xml:space="preserve">The mother’s connection dropped during direct examination of the first witness, a </w:t>
      </w:r>
      <w:r w:rsidR="000E04F3">
        <w:t>DCF</w:t>
      </w:r>
      <w:r>
        <w:t xml:space="preserve"> social worker, and it was unclear to the judge what she heard. After a short recess, t</w:t>
      </w:r>
      <w:r w:rsidRPr="008E59FD">
        <w:t xml:space="preserve">he </w:t>
      </w:r>
      <w:r>
        <w:t>judge</w:t>
      </w:r>
      <w:r w:rsidRPr="008E59FD">
        <w:t xml:space="preserve"> </w:t>
      </w:r>
      <w:r>
        <w:t xml:space="preserve">decided to </w:t>
      </w:r>
      <w:r w:rsidRPr="008E59FD">
        <w:t>continu</w:t>
      </w:r>
      <w:r>
        <w:t>e</w:t>
      </w:r>
      <w:r w:rsidRPr="008E59FD">
        <w:t xml:space="preserve"> the trial without </w:t>
      </w:r>
      <w:r>
        <w:t>the m</w:t>
      </w:r>
      <w:r w:rsidRPr="008E59FD">
        <w:t>other, proceeding with the testimony of two additional witnesses</w:t>
      </w:r>
      <w:r>
        <w:t xml:space="preserve"> who also experienced </w:t>
      </w:r>
      <w:r w:rsidR="005668FB">
        <w:t>connection problems</w:t>
      </w:r>
      <w:r w:rsidRPr="008E59FD">
        <w:t>.</w:t>
      </w:r>
      <w:r>
        <w:t xml:space="preserve"> When</w:t>
      </w:r>
      <w:r w:rsidR="000E04F3">
        <w:t xml:space="preserve"> the Zoom</w:t>
      </w:r>
      <w:r>
        <w:t xml:space="preserve"> </w:t>
      </w:r>
      <w:r w:rsidRPr="008E59FD">
        <w:t xml:space="preserve">trial resumed two days later, </w:t>
      </w:r>
      <w:r>
        <w:t>the m</w:t>
      </w:r>
      <w:r w:rsidRPr="008E59FD">
        <w:t xml:space="preserve">other </w:t>
      </w:r>
      <w:r>
        <w:t>was able to connect.</w:t>
      </w:r>
      <w:r w:rsidR="005668FB">
        <w:t xml:space="preserve"> </w:t>
      </w:r>
      <w:r>
        <w:t xml:space="preserve">She </w:t>
      </w:r>
      <w:r w:rsidR="005668FB">
        <w:t>told</w:t>
      </w:r>
      <w:r w:rsidRPr="008E59FD">
        <w:t xml:space="preserve"> the </w:t>
      </w:r>
      <w:r>
        <w:t>judge</w:t>
      </w:r>
      <w:r w:rsidRPr="008E59FD">
        <w:t xml:space="preserve"> that her cell </w:t>
      </w:r>
      <w:r>
        <w:t xml:space="preserve">service </w:t>
      </w:r>
      <w:r w:rsidRPr="008E59FD">
        <w:t xml:space="preserve">was “really bad” </w:t>
      </w:r>
      <w:r>
        <w:t>on the first day of trial</w:t>
      </w:r>
      <w:r w:rsidRPr="008E59FD">
        <w:t xml:space="preserve">. The </w:t>
      </w:r>
      <w:r>
        <w:t>judge did not ask her what she had been able to hear on the first day of trial; instead, he offered her</w:t>
      </w:r>
      <w:r w:rsidRPr="008E59FD">
        <w:t xml:space="preserve"> the chance to cross-examine the witnesses </w:t>
      </w:r>
      <w:r>
        <w:t xml:space="preserve">whose direct examination she </w:t>
      </w:r>
      <w:r w:rsidR="00F27D6D">
        <w:t xml:space="preserve">had </w:t>
      </w:r>
      <w:r>
        <w:t>never heard.</w:t>
      </w:r>
      <w:r w:rsidR="000E04F3">
        <w:t xml:space="preserve"> </w:t>
      </w:r>
      <w:r w:rsidR="005668FB">
        <w:t>Then</w:t>
      </w:r>
      <w:r w:rsidRPr="0073397C">
        <w:t>, the judge terminated the mother’s parental rights</w:t>
      </w:r>
      <w:r w:rsidR="00E7323F">
        <w:t>, and the mother appealed</w:t>
      </w:r>
      <w:r w:rsidRPr="0073397C">
        <w:t>.</w:t>
      </w:r>
      <w:r w:rsidR="005668FB">
        <w:t xml:space="preserve"> </w:t>
      </w:r>
      <w:r w:rsidR="00E7323F">
        <w:t>Appellate counsel</w:t>
      </w:r>
      <w:r w:rsidRPr="0073397C">
        <w:t xml:space="preserve"> filed a motion for new trial, explaining that </w:t>
      </w:r>
      <w:r w:rsidR="00E7323F">
        <w:t>the mother</w:t>
      </w:r>
      <w:r w:rsidRPr="0073397C">
        <w:t xml:space="preserve"> had heard only parts of the first witness’s testimony</w:t>
      </w:r>
      <w:r>
        <w:t>, that she</w:t>
      </w:r>
      <w:r w:rsidRPr="0073397C">
        <w:t xml:space="preserve"> had not heard any of the other two witnesses’ testimony</w:t>
      </w:r>
      <w:r>
        <w:t xml:space="preserve">, and that she had tried to reach the clerk’s office to be </w:t>
      </w:r>
      <w:r>
        <w:lastRenderedPageBreak/>
        <w:t>reconnected</w:t>
      </w:r>
      <w:r w:rsidRPr="0073397C">
        <w:t xml:space="preserve">. The judge denied the motion without a hearing. </w:t>
      </w:r>
      <w:r w:rsidR="00E7323F">
        <w:t xml:space="preserve"> The mother appealed the denial of the new trial motion and moved (successfully) to consolidate the two appeals.</w:t>
      </w:r>
    </w:p>
    <w:p w14:paraId="2650A277" w14:textId="358AB99C" w:rsidR="00E7323F" w:rsidRDefault="00E7323F" w:rsidP="00B265D2">
      <w:pPr>
        <w:spacing w:after="0" w:line="240" w:lineRule="auto"/>
        <w:jc w:val="both"/>
      </w:pPr>
    </w:p>
    <w:p w14:paraId="25FF5D61" w14:textId="2072E09F" w:rsidR="00E7323F" w:rsidRPr="00E7323F" w:rsidRDefault="00E7323F" w:rsidP="00B265D2">
      <w:pPr>
        <w:spacing w:after="0" w:line="240" w:lineRule="auto"/>
        <w:jc w:val="both"/>
        <w:rPr>
          <w:b/>
        </w:rPr>
      </w:pPr>
      <w:r w:rsidRPr="00E7323F">
        <w:rPr>
          <w:b/>
        </w:rPr>
        <w:t>So Where Does that Leave You, as Appellate Counsel?</w:t>
      </w:r>
    </w:p>
    <w:p w14:paraId="72200834" w14:textId="58C052B8" w:rsidR="00E7323F" w:rsidRDefault="00E7323F" w:rsidP="00B265D2">
      <w:pPr>
        <w:spacing w:after="0" w:line="240" w:lineRule="auto"/>
        <w:jc w:val="both"/>
      </w:pPr>
    </w:p>
    <w:p w14:paraId="3154BA71" w14:textId="6D28BDB2" w:rsidR="00F27D6D" w:rsidRDefault="00F27D6D" w:rsidP="00B265D2">
      <w:pPr>
        <w:spacing w:after="0" w:line="240" w:lineRule="auto"/>
        <w:jc w:val="both"/>
      </w:pPr>
      <w:r>
        <w:t>So you were appellate counsel and the Zoom (or hybrid) trial in your case was flawed.  What do you do?  Some initial thoughts:</w:t>
      </w:r>
    </w:p>
    <w:p w14:paraId="72FE83AA" w14:textId="77777777" w:rsidR="00F27D6D" w:rsidRDefault="00F27D6D" w:rsidP="00B265D2">
      <w:pPr>
        <w:spacing w:after="0" w:line="240" w:lineRule="auto"/>
        <w:jc w:val="both"/>
      </w:pPr>
    </w:p>
    <w:p w14:paraId="776807BF" w14:textId="7D520514" w:rsidR="00F152DE" w:rsidRDefault="00F152DE" w:rsidP="00B265D2">
      <w:pPr>
        <w:spacing w:after="0" w:line="240" w:lineRule="auto"/>
        <w:jc w:val="both"/>
      </w:pPr>
      <w:r>
        <w:t xml:space="preserve">First, </w:t>
      </w:r>
      <w:r w:rsidR="00E7323F">
        <w:t xml:space="preserve">remember that Zoom trials must satisfy the procedural safeguards of </w:t>
      </w:r>
      <w:r w:rsidR="00E7323F" w:rsidRPr="00351429">
        <w:rPr>
          <w:i/>
        </w:rPr>
        <w:t>Patty</w:t>
      </w:r>
      <w:r w:rsidR="00E7323F">
        <w:t xml:space="preserve"> even if the parent agrees to hold the trial by Zoom.  The efficacy, or legitimacy, of such </w:t>
      </w:r>
      <w:r w:rsidR="00351429">
        <w:t>consent</w:t>
      </w:r>
      <w:r w:rsidR="00E7323F">
        <w:t xml:space="preserve"> rests on the assumption that the trial will meet minimum due process demands.</w:t>
      </w:r>
      <w:r w:rsidR="00351429">
        <w:t xml:space="preserve">  That is, by agreeing to a Zoom trial, the parent isn’t agreeing to lose audio/video or l</w:t>
      </w:r>
      <w:r>
        <w:t xml:space="preserve">ose connection to their counsel; they are only agreeing to a trial that isn’t in person.  </w:t>
      </w:r>
      <w:r w:rsidR="003B63E9">
        <w:t>So your client hasn’t waived their “</w:t>
      </w:r>
      <w:r w:rsidR="003B63E9" w:rsidRPr="00AB5375">
        <w:rPr>
          <w:i/>
        </w:rPr>
        <w:t>Patty</w:t>
      </w:r>
      <w:r w:rsidR="003B63E9">
        <w:t xml:space="preserve"> rights” simply by agreeing to a Zoom trial.</w:t>
      </w:r>
    </w:p>
    <w:p w14:paraId="03689870" w14:textId="77777777" w:rsidR="00F152DE" w:rsidRDefault="00F152DE" w:rsidP="00B265D2">
      <w:pPr>
        <w:spacing w:after="0" w:line="240" w:lineRule="auto"/>
        <w:jc w:val="both"/>
      </w:pPr>
    </w:p>
    <w:p w14:paraId="7F793E81" w14:textId="27A36C63" w:rsidR="00E7323F" w:rsidRDefault="00F152DE" w:rsidP="00B265D2">
      <w:pPr>
        <w:spacing w:after="0" w:line="240" w:lineRule="auto"/>
        <w:jc w:val="both"/>
      </w:pPr>
      <w:r>
        <w:t>Second, procedural due process means the right to notice and to participate in a timely and meaningful manner.  The Zoom</w:t>
      </w:r>
      <w:r w:rsidR="00D147BB">
        <w:t xml:space="preserve"> (or hybrid)</w:t>
      </w:r>
      <w:r>
        <w:t xml:space="preserve"> trial </w:t>
      </w:r>
      <w:r w:rsidR="00D147BB">
        <w:t xml:space="preserve">in your case </w:t>
      </w:r>
      <w:r>
        <w:t>doesn’t h</w:t>
      </w:r>
      <w:r w:rsidR="00D147BB">
        <w:t>ave to be perfect, but it must</w:t>
      </w:r>
      <w:r>
        <w:t xml:space="preserve"> allow for </w:t>
      </w:r>
      <w:r w:rsidRPr="00AB5375">
        <w:rPr>
          <w:i/>
        </w:rPr>
        <w:t>meaningful</w:t>
      </w:r>
      <w:r>
        <w:t xml:space="preserve"> participation</w:t>
      </w:r>
      <w:r w:rsidR="00D147BB">
        <w:t xml:space="preserve">.  That means that the client must have a meaningful opportunity to effectively </w:t>
      </w:r>
      <w:r>
        <w:t>rebut DCF’s adverse allegations.</w:t>
      </w:r>
      <w:r w:rsidR="003B63E9">
        <w:t xml:space="preserve">  Did your client have such an opportunity?  Could they hear the judge?  Could they hear DCF’s case against them?  Could they consult with trial counsel in order to make some form of rebuttal?</w:t>
      </w:r>
    </w:p>
    <w:p w14:paraId="073DB447" w14:textId="5EE63ECA" w:rsidR="00F152DE" w:rsidRDefault="00F152DE" w:rsidP="00B265D2">
      <w:pPr>
        <w:spacing w:after="0" w:line="240" w:lineRule="auto"/>
        <w:jc w:val="both"/>
      </w:pPr>
    </w:p>
    <w:p w14:paraId="4D9BD1E4" w14:textId="4911235D" w:rsidR="00F152DE" w:rsidRDefault="00D147BB" w:rsidP="00B265D2">
      <w:pPr>
        <w:spacing w:after="0" w:line="240" w:lineRule="auto"/>
        <w:jc w:val="both"/>
      </w:pPr>
      <w:r>
        <w:t>Third, i</w:t>
      </w:r>
      <w:r w:rsidR="00F152DE">
        <w:t xml:space="preserve">n almost all cases, you don’t want brief a </w:t>
      </w:r>
      <w:r w:rsidR="00F152DE" w:rsidRPr="00F152DE">
        <w:rPr>
          <w:i/>
        </w:rPr>
        <w:t>Patty</w:t>
      </w:r>
      <w:r w:rsidR="00F152DE">
        <w:t xml:space="preserve"> issue unless it was adequately preserved.  What does that mean?</w:t>
      </w:r>
      <w:r w:rsidR="003B63E9">
        <w:t xml:space="preserve">  Here are some “preservation tips”:</w:t>
      </w:r>
    </w:p>
    <w:p w14:paraId="538CB6A5" w14:textId="77777777" w:rsidR="00E7323F" w:rsidRDefault="00E7323F" w:rsidP="00B265D2">
      <w:pPr>
        <w:spacing w:after="0" w:line="240" w:lineRule="auto"/>
        <w:jc w:val="both"/>
      </w:pPr>
    </w:p>
    <w:p w14:paraId="4908C6A7" w14:textId="6F36B84F" w:rsidR="00E7323F" w:rsidRPr="00E7323F" w:rsidRDefault="00F152DE" w:rsidP="00B265D2">
      <w:pPr>
        <w:spacing w:after="0" w:line="240" w:lineRule="auto"/>
        <w:jc w:val="both"/>
        <w:rPr>
          <w:u w:val="single"/>
        </w:rPr>
      </w:pPr>
      <w:r>
        <w:rPr>
          <w:u w:val="single"/>
        </w:rPr>
        <w:t>Appellate Practice T</w:t>
      </w:r>
      <w:r w:rsidR="00E7323F" w:rsidRPr="00E7323F">
        <w:rPr>
          <w:u w:val="single"/>
        </w:rPr>
        <w:t>ip #1</w:t>
      </w:r>
      <w:r>
        <w:rPr>
          <w:u w:val="single"/>
        </w:rPr>
        <w:t xml:space="preserve"> (Good Issue Preservation at Trial)</w:t>
      </w:r>
    </w:p>
    <w:p w14:paraId="0A722C01" w14:textId="77777777" w:rsidR="00E7323F" w:rsidRDefault="00E7323F" w:rsidP="00B265D2">
      <w:pPr>
        <w:spacing w:after="0" w:line="240" w:lineRule="auto"/>
        <w:jc w:val="both"/>
      </w:pPr>
    </w:p>
    <w:p w14:paraId="412B74E0" w14:textId="0964C189" w:rsidR="00F152DE" w:rsidRPr="00F152DE" w:rsidRDefault="00E7323F" w:rsidP="00B265D2">
      <w:pPr>
        <w:spacing w:after="0" w:line="240" w:lineRule="auto"/>
        <w:jc w:val="both"/>
      </w:pPr>
      <w:r w:rsidRPr="00F152DE">
        <w:t xml:space="preserve">Let’s assume trial counsel (or a </w:t>
      </w:r>
      <w:r w:rsidRPr="00F152DE">
        <w:rPr>
          <w:i/>
        </w:rPr>
        <w:t>pro se</w:t>
      </w:r>
      <w:r w:rsidRPr="00F152DE">
        <w:t xml:space="preserve"> parent) has made timely </w:t>
      </w:r>
      <w:r w:rsidR="0072066F" w:rsidRPr="00F152DE">
        <w:t xml:space="preserve">due process </w:t>
      </w:r>
      <w:r w:rsidRPr="00F152DE">
        <w:t>objections to</w:t>
      </w:r>
      <w:r w:rsidR="00F152DE" w:rsidRPr="00F152DE">
        <w:t>:</w:t>
      </w:r>
    </w:p>
    <w:p w14:paraId="79615518" w14:textId="77777777" w:rsidR="00F152DE" w:rsidRPr="00F152DE" w:rsidRDefault="00F152DE" w:rsidP="00B265D2">
      <w:pPr>
        <w:spacing w:after="0" w:line="240" w:lineRule="auto"/>
        <w:jc w:val="both"/>
      </w:pPr>
    </w:p>
    <w:p w14:paraId="5E77FBBF" w14:textId="77777777" w:rsidR="00F152DE" w:rsidRPr="00F152DE" w:rsidRDefault="0072066F" w:rsidP="00B265D2">
      <w:pPr>
        <w:pStyle w:val="ListParagraph"/>
        <w:numPr>
          <w:ilvl w:val="0"/>
          <w:numId w:val="5"/>
        </w:numPr>
        <w:spacing w:after="0" w:line="240" w:lineRule="auto"/>
        <w:jc w:val="both"/>
        <w:rPr>
          <w:rFonts w:ascii="Times New Roman" w:hAnsi="Times New Roman" w:cs="Times New Roman"/>
          <w:sz w:val="24"/>
          <w:szCs w:val="24"/>
        </w:rPr>
      </w:pPr>
      <w:r w:rsidRPr="00F152DE">
        <w:rPr>
          <w:rFonts w:ascii="Times New Roman" w:hAnsi="Times New Roman" w:cs="Times New Roman"/>
          <w:sz w:val="24"/>
          <w:szCs w:val="24"/>
        </w:rPr>
        <w:t>the lack of reliable devices or data service</w:t>
      </w:r>
    </w:p>
    <w:p w14:paraId="4D278233" w14:textId="77777777" w:rsidR="00F152DE" w:rsidRPr="00F152DE" w:rsidRDefault="00E7323F" w:rsidP="00B265D2">
      <w:pPr>
        <w:pStyle w:val="ListParagraph"/>
        <w:numPr>
          <w:ilvl w:val="0"/>
          <w:numId w:val="5"/>
        </w:numPr>
        <w:spacing w:after="0" w:line="240" w:lineRule="auto"/>
        <w:jc w:val="both"/>
        <w:rPr>
          <w:rFonts w:ascii="Times New Roman" w:hAnsi="Times New Roman" w:cs="Times New Roman"/>
          <w:sz w:val="24"/>
          <w:szCs w:val="24"/>
        </w:rPr>
      </w:pPr>
      <w:r w:rsidRPr="00F152DE">
        <w:rPr>
          <w:rFonts w:ascii="Times New Roman" w:hAnsi="Times New Roman" w:cs="Times New Roman"/>
          <w:sz w:val="24"/>
          <w:szCs w:val="24"/>
        </w:rPr>
        <w:t>dropped audio or video</w:t>
      </w:r>
    </w:p>
    <w:p w14:paraId="24FBF45F" w14:textId="77777777" w:rsidR="00F152DE" w:rsidRPr="00F152DE" w:rsidRDefault="00E7323F" w:rsidP="00B265D2">
      <w:pPr>
        <w:pStyle w:val="ListParagraph"/>
        <w:numPr>
          <w:ilvl w:val="0"/>
          <w:numId w:val="5"/>
        </w:numPr>
        <w:spacing w:after="0" w:line="240" w:lineRule="auto"/>
        <w:jc w:val="both"/>
        <w:rPr>
          <w:rFonts w:ascii="Times New Roman" w:hAnsi="Times New Roman" w:cs="Times New Roman"/>
          <w:sz w:val="24"/>
          <w:szCs w:val="24"/>
        </w:rPr>
      </w:pPr>
      <w:r w:rsidRPr="00F152DE">
        <w:rPr>
          <w:rFonts w:ascii="Times New Roman" w:hAnsi="Times New Roman" w:cs="Times New Roman"/>
          <w:sz w:val="24"/>
          <w:szCs w:val="24"/>
        </w:rPr>
        <w:t>the inability to hold attorney-client consults in breakout rooms</w:t>
      </w:r>
    </w:p>
    <w:p w14:paraId="56EE5C8D" w14:textId="77777777" w:rsidR="00F152DE" w:rsidRPr="00F152DE" w:rsidRDefault="0072066F" w:rsidP="00B265D2">
      <w:pPr>
        <w:pStyle w:val="ListParagraph"/>
        <w:numPr>
          <w:ilvl w:val="0"/>
          <w:numId w:val="5"/>
        </w:numPr>
        <w:spacing w:after="0" w:line="240" w:lineRule="auto"/>
        <w:jc w:val="both"/>
        <w:rPr>
          <w:rFonts w:ascii="Times New Roman" w:hAnsi="Times New Roman" w:cs="Times New Roman"/>
          <w:sz w:val="24"/>
          <w:szCs w:val="24"/>
        </w:rPr>
      </w:pPr>
      <w:r w:rsidRPr="00F152DE">
        <w:rPr>
          <w:rFonts w:ascii="Times New Roman" w:hAnsi="Times New Roman" w:cs="Times New Roman"/>
          <w:sz w:val="24"/>
          <w:szCs w:val="24"/>
        </w:rPr>
        <w:t>the inability to offer exhibits or view the exhibits of adverse parties</w:t>
      </w:r>
    </w:p>
    <w:p w14:paraId="24899CE5" w14:textId="77777777" w:rsidR="00F152DE" w:rsidRPr="00F152DE" w:rsidRDefault="00F152DE" w:rsidP="00B265D2">
      <w:pPr>
        <w:pStyle w:val="ListParagraph"/>
        <w:numPr>
          <w:ilvl w:val="0"/>
          <w:numId w:val="5"/>
        </w:numPr>
        <w:spacing w:after="0" w:line="240" w:lineRule="auto"/>
        <w:jc w:val="both"/>
        <w:rPr>
          <w:rFonts w:ascii="Times New Roman" w:hAnsi="Times New Roman" w:cs="Times New Roman"/>
          <w:sz w:val="24"/>
          <w:szCs w:val="24"/>
        </w:rPr>
      </w:pPr>
      <w:r w:rsidRPr="00F152DE">
        <w:rPr>
          <w:rFonts w:ascii="Times New Roman" w:hAnsi="Times New Roman" w:cs="Times New Roman"/>
          <w:sz w:val="24"/>
          <w:szCs w:val="24"/>
        </w:rPr>
        <w:t>something else that prevented meaningful participation.</w:t>
      </w:r>
    </w:p>
    <w:p w14:paraId="12782583" w14:textId="77777777" w:rsidR="00F152DE" w:rsidRDefault="00F152DE" w:rsidP="00B265D2">
      <w:pPr>
        <w:spacing w:after="0" w:line="240" w:lineRule="auto"/>
        <w:jc w:val="both"/>
      </w:pPr>
    </w:p>
    <w:p w14:paraId="6DB3CE6E" w14:textId="2FEAAE3A" w:rsidR="005850DA" w:rsidRDefault="0072066F" w:rsidP="00B265D2">
      <w:pPr>
        <w:spacing w:after="0" w:line="240" w:lineRule="auto"/>
        <w:jc w:val="both"/>
        <w:rPr>
          <w:b/>
        </w:rPr>
      </w:pPr>
      <w:r>
        <w:t>That’s awesome.  Raise these issue in your direct appeal.  No need for any post-trial motion, unless a necessary offer of proof wasn’t made by trial counsel</w:t>
      </w:r>
      <w:r w:rsidR="00D147BB">
        <w:t>.  For</w:t>
      </w:r>
      <w:r>
        <w:t xml:space="preserve"> example, the client dropped off the Zoom trial during his testimony, or the client’s expert dropped off the Zoom trial during her testimony, and the “lost” testimony was important to the case</w:t>
      </w:r>
      <w:r w:rsidR="00D147BB">
        <w:t>.  You’ll need to supply the trial court with that “lost” testimony in a motion for new trial/relief from judgment</w:t>
      </w:r>
      <w:r>
        <w:t xml:space="preserve">. </w:t>
      </w:r>
      <w:r w:rsidR="00D147BB">
        <w:t xml:space="preserve"> (See more below)</w:t>
      </w:r>
    </w:p>
    <w:p w14:paraId="74B64583" w14:textId="77777777" w:rsidR="000E04F3" w:rsidRDefault="000E04F3" w:rsidP="00B265D2">
      <w:pPr>
        <w:spacing w:after="0" w:line="240" w:lineRule="auto"/>
        <w:jc w:val="both"/>
        <w:rPr>
          <w:bCs/>
        </w:rPr>
      </w:pPr>
    </w:p>
    <w:p w14:paraId="1B63831C" w14:textId="50455E87" w:rsidR="0024277C" w:rsidRPr="00351429" w:rsidRDefault="0024277C" w:rsidP="00B265D2">
      <w:pPr>
        <w:spacing w:after="0" w:line="240" w:lineRule="auto"/>
        <w:jc w:val="both"/>
        <w:rPr>
          <w:u w:val="single"/>
        </w:rPr>
      </w:pPr>
      <w:r w:rsidRPr="00351429">
        <w:rPr>
          <w:u w:val="single"/>
        </w:rPr>
        <w:t>Appellate Practice Tip #</w:t>
      </w:r>
      <w:r w:rsidR="0072066F" w:rsidRPr="00351429">
        <w:rPr>
          <w:u w:val="single"/>
        </w:rPr>
        <w:t>2</w:t>
      </w:r>
      <w:r w:rsidR="00D147BB">
        <w:rPr>
          <w:u w:val="single"/>
        </w:rPr>
        <w:t xml:space="preserve"> (Issues Not Preserved)</w:t>
      </w:r>
      <w:r w:rsidRPr="00351429">
        <w:rPr>
          <w:u w:val="single"/>
        </w:rPr>
        <w:t xml:space="preserve"> </w:t>
      </w:r>
    </w:p>
    <w:p w14:paraId="26BA023D" w14:textId="77777777" w:rsidR="0024277C" w:rsidRPr="00351429" w:rsidRDefault="0024277C" w:rsidP="00B265D2">
      <w:pPr>
        <w:spacing w:after="0" w:line="240" w:lineRule="auto"/>
        <w:jc w:val="both"/>
        <w:rPr>
          <w:bCs/>
          <w:u w:val="single"/>
        </w:rPr>
      </w:pPr>
    </w:p>
    <w:p w14:paraId="4C6B2210" w14:textId="1FF7D873" w:rsidR="00006CEB" w:rsidRDefault="000E04F3" w:rsidP="00B265D2">
      <w:pPr>
        <w:spacing w:after="0" w:line="240" w:lineRule="auto"/>
        <w:jc w:val="both"/>
        <w:rPr>
          <w:bCs/>
        </w:rPr>
      </w:pPr>
      <w:r w:rsidRPr="0024277C">
        <w:rPr>
          <w:bCs/>
        </w:rPr>
        <w:t>What if the</w:t>
      </w:r>
      <w:r w:rsidR="006B590C">
        <w:rPr>
          <w:bCs/>
        </w:rPr>
        <w:t xml:space="preserve"> </w:t>
      </w:r>
      <w:r w:rsidR="006B590C" w:rsidRPr="00AB5375">
        <w:rPr>
          <w:bCs/>
          <w:i/>
        </w:rPr>
        <w:t>Patty</w:t>
      </w:r>
      <w:r w:rsidR="006B590C">
        <w:rPr>
          <w:bCs/>
        </w:rPr>
        <w:t xml:space="preserve"> issues were</w:t>
      </w:r>
      <w:r w:rsidRPr="0024277C">
        <w:rPr>
          <w:bCs/>
        </w:rPr>
        <w:t xml:space="preserve"> not preserved</w:t>
      </w:r>
      <w:r w:rsidR="003B63E9">
        <w:rPr>
          <w:b/>
        </w:rPr>
        <w:t xml:space="preserve"> </w:t>
      </w:r>
      <w:r w:rsidR="003B63E9" w:rsidRPr="00AB5375">
        <w:t xml:space="preserve">– that is, </w:t>
      </w:r>
      <w:r w:rsidR="003B63E9">
        <w:t xml:space="preserve">no objections, no offers of proof, no indication that the trial was problematic?  </w:t>
      </w:r>
      <w:r w:rsidR="0024277C" w:rsidRPr="003B63E9">
        <w:rPr>
          <w:bCs/>
        </w:rPr>
        <w:t>File</w:t>
      </w:r>
      <w:r w:rsidR="0024277C">
        <w:rPr>
          <w:bCs/>
        </w:rPr>
        <w:t xml:space="preserve"> a </w:t>
      </w:r>
      <w:r w:rsidR="00D147BB">
        <w:rPr>
          <w:bCs/>
        </w:rPr>
        <w:t xml:space="preserve">motion for new trial/relief from judgment.  You motion must explain the problems that occurred at the Zoom trial and how those problems prevented the client </w:t>
      </w:r>
      <w:r w:rsidR="00D147BB">
        <w:rPr>
          <w:bCs/>
        </w:rPr>
        <w:lastRenderedPageBreak/>
        <w:t xml:space="preserve">from meaningfully participating and rebutting DCF’s allegations.  You’ll </w:t>
      </w:r>
      <w:r w:rsidR="00D147BB" w:rsidRPr="00D147BB">
        <w:rPr>
          <w:bCs/>
        </w:rPr>
        <w:t xml:space="preserve">need an affidavit from the client (and/or from trial counsel) </w:t>
      </w:r>
      <w:r w:rsidR="0024277C" w:rsidRPr="00D147BB">
        <w:rPr>
          <w:bCs/>
        </w:rPr>
        <w:t>explaining the technological problems.</w:t>
      </w:r>
      <w:r w:rsidR="0024277C" w:rsidRPr="00D147BB">
        <w:t xml:space="preserve"> </w:t>
      </w:r>
      <w:r w:rsidR="006B590C">
        <w:t xml:space="preserve">You’ll need an affidavit stating the missing or dropped testimony.  You’ll need to attach exhibits that the client or trial counsel thought were admitted but weren’t.  </w:t>
      </w:r>
      <w:r w:rsidR="00D147BB" w:rsidRPr="00D147BB">
        <w:t>The trial</w:t>
      </w:r>
      <w:r w:rsidR="00D147BB">
        <w:t xml:space="preserve"> judge might not have been aware of the problems, and your motion gives the judge a chance to declare a mistrial, strike testimony, reopen the evidence, etc. </w:t>
      </w:r>
      <w:r w:rsidR="006B590C">
        <w:t>The appellate courts are very reluctant to act if the trial judge wasn’t given the first shot at fixing things.</w:t>
      </w:r>
      <w:r w:rsidR="00D147BB" w:rsidRPr="00D147BB">
        <w:t xml:space="preserve"> </w:t>
      </w:r>
    </w:p>
    <w:p w14:paraId="111CA61B" w14:textId="46A88FAA" w:rsidR="00D147BB" w:rsidRDefault="00D147BB" w:rsidP="00B265D2">
      <w:pPr>
        <w:spacing w:after="0" w:line="240" w:lineRule="auto"/>
        <w:jc w:val="both"/>
        <w:rPr>
          <w:bCs/>
        </w:rPr>
      </w:pPr>
    </w:p>
    <w:p w14:paraId="4B9C4D0A" w14:textId="26EB93B4" w:rsidR="00D147BB" w:rsidRDefault="00D147BB" w:rsidP="00B265D2">
      <w:pPr>
        <w:spacing w:after="0" w:line="240" w:lineRule="auto"/>
        <w:jc w:val="both"/>
        <w:rPr>
          <w:bCs/>
        </w:rPr>
      </w:pPr>
      <w:r>
        <w:rPr>
          <w:bCs/>
        </w:rPr>
        <w:t>If the trial judge denies the motion, file a notice of appeal regarding that denial and move to consolidate that appeal with the appeal of the underlying judgment.</w:t>
      </w:r>
      <w:r w:rsidR="006B590C">
        <w:rPr>
          <w:bCs/>
        </w:rPr>
        <w:t xml:space="preserve">  </w:t>
      </w:r>
      <w:r w:rsidR="006B590C" w:rsidRPr="00AB5375">
        <w:rPr>
          <w:bCs/>
          <w:i/>
        </w:rPr>
        <w:t>Now</w:t>
      </w:r>
      <w:r w:rsidR="006B590C">
        <w:rPr>
          <w:bCs/>
        </w:rPr>
        <w:t xml:space="preserve"> you can brief the Patty issues.</w:t>
      </w:r>
    </w:p>
    <w:p w14:paraId="4E6A6F8C" w14:textId="77777777" w:rsidR="00D147BB" w:rsidRDefault="00D147BB" w:rsidP="00B265D2">
      <w:pPr>
        <w:spacing w:after="0" w:line="240" w:lineRule="auto"/>
        <w:jc w:val="both"/>
        <w:rPr>
          <w:b/>
        </w:rPr>
      </w:pPr>
    </w:p>
    <w:p w14:paraId="4EFA9EEB" w14:textId="6019491D" w:rsidR="001E27DE" w:rsidRPr="00D147BB" w:rsidRDefault="001E27DE" w:rsidP="00B265D2">
      <w:pPr>
        <w:spacing w:after="0" w:line="480" w:lineRule="auto"/>
        <w:jc w:val="both"/>
        <w:rPr>
          <w:bCs/>
          <w:u w:val="single"/>
        </w:rPr>
      </w:pPr>
      <w:r w:rsidRPr="00D147BB">
        <w:rPr>
          <w:bCs/>
          <w:u w:val="single"/>
        </w:rPr>
        <w:t>Appellate Practice Tip</w:t>
      </w:r>
      <w:r w:rsidR="0024277C" w:rsidRPr="00D147BB">
        <w:rPr>
          <w:bCs/>
          <w:u w:val="single"/>
        </w:rPr>
        <w:t xml:space="preserve"> #</w:t>
      </w:r>
      <w:r w:rsidR="00D147BB" w:rsidRPr="00D147BB">
        <w:rPr>
          <w:bCs/>
          <w:u w:val="single"/>
        </w:rPr>
        <w:t>3 (Showing Harm – Or Not)</w:t>
      </w:r>
    </w:p>
    <w:p w14:paraId="10A8FE1C" w14:textId="77777777" w:rsidR="00D147BB" w:rsidRDefault="001E27DE" w:rsidP="00B265D2">
      <w:pPr>
        <w:spacing w:after="0" w:line="240" w:lineRule="auto"/>
        <w:jc w:val="both"/>
      </w:pPr>
      <w:r w:rsidRPr="00753C46">
        <w:t xml:space="preserve">You do not need to show </w:t>
      </w:r>
      <w:r w:rsidR="00D147BB">
        <w:t>prejudice/</w:t>
      </w:r>
      <w:r w:rsidRPr="00753C46">
        <w:t>harm where there has been a s</w:t>
      </w:r>
      <w:r w:rsidRPr="001E27DE">
        <w:t>erious due process violation</w:t>
      </w:r>
      <w:r w:rsidR="00D147BB">
        <w:t xml:space="preserve"> that calls into question the basic fairness of the proceeding</w:t>
      </w:r>
      <w:r w:rsidRPr="00753C46">
        <w:t>.</w:t>
      </w:r>
      <w:r w:rsidR="00753C46" w:rsidRPr="00753C46">
        <w:t xml:space="preserve"> </w:t>
      </w:r>
      <w:r w:rsidR="00D147BB">
        <w:t xml:space="preserve"> </w:t>
      </w:r>
      <w:r w:rsidR="00D147BB" w:rsidRPr="00D147BB">
        <w:rPr>
          <w:i/>
        </w:rPr>
        <w:t>Patty</w:t>
      </w:r>
      <w:r w:rsidR="00D147BB">
        <w:t xml:space="preserve"> and the other cases cited above and in footnote 1 were reversed without any discussion of harm, because harm is presumed when a trial is fundamentally unfair.</w:t>
      </w:r>
    </w:p>
    <w:p w14:paraId="62FE0FD0" w14:textId="77777777" w:rsidR="00D147BB" w:rsidRDefault="00D147BB" w:rsidP="00B265D2">
      <w:pPr>
        <w:spacing w:after="0" w:line="240" w:lineRule="auto"/>
        <w:jc w:val="both"/>
      </w:pPr>
    </w:p>
    <w:p w14:paraId="5B742C14" w14:textId="7FBCB3B4" w:rsidR="001E27DE" w:rsidRDefault="00D147BB">
      <w:pPr>
        <w:spacing w:after="0" w:line="240" w:lineRule="auto"/>
        <w:jc w:val="both"/>
      </w:pPr>
      <w:r w:rsidRPr="00D147BB">
        <w:rPr>
          <w:i/>
        </w:rPr>
        <w:t>Patty</w:t>
      </w:r>
      <w:r>
        <w:t xml:space="preserve"> issues (and other s</w:t>
      </w:r>
      <w:r w:rsidR="001E27DE" w:rsidRPr="001E27DE">
        <w:t>erious due process violations</w:t>
      </w:r>
      <w:r>
        <w:t>)</w:t>
      </w:r>
      <w:r w:rsidR="001E27DE" w:rsidRPr="001E27DE">
        <w:t xml:space="preserve"> should be </w:t>
      </w:r>
      <w:r w:rsidR="006B590C">
        <w:t xml:space="preserve">the </w:t>
      </w:r>
      <w:r w:rsidR="001E27DE" w:rsidRPr="001E27DE">
        <w:t xml:space="preserve">first argument in </w:t>
      </w:r>
      <w:r w:rsidR="00DA1C2D">
        <w:t xml:space="preserve">your </w:t>
      </w:r>
      <w:r w:rsidR="001E27DE" w:rsidRPr="001E27DE">
        <w:t>brief</w:t>
      </w:r>
      <w:r w:rsidR="00DA1C2D">
        <w:t>.  And, when making that argument, state right up front that no harm need be shown.  Perhaps something like</w:t>
      </w:r>
      <w:r w:rsidR="001E27DE" w:rsidRPr="001E27DE">
        <w:t xml:space="preserve">: </w:t>
      </w:r>
    </w:p>
    <w:p w14:paraId="051D0DDA" w14:textId="77777777" w:rsidR="00DA1C2D" w:rsidRPr="00DA1C2D" w:rsidRDefault="00DA1C2D">
      <w:pPr>
        <w:spacing w:after="0" w:line="240" w:lineRule="auto"/>
        <w:jc w:val="both"/>
      </w:pPr>
    </w:p>
    <w:p w14:paraId="2ECF2845" w14:textId="41986A69" w:rsidR="005850DA" w:rsidRDefault="001E27DE">
      <w:pPr>
        <w:spacing w:after="0" w:line="240" w:lineRule="auto"/>
        <w:ind w:left="720"/>
        <w:jc w:val="both"/>
        <w:rPr>
          <w:bCs/>
          <w:i/>
          <w:iCs/>
        </w:rPr>
      </w:pPr>
      <w:r w:rsidRPr="00DA1C2D">
        <w:t xml:space="preserve">“No harm needs to be shown in this case as a result of the </w:t>
      </w:r>
      <w:r w:rsidR="00DA1C2D">
        <w:t xml:space="preserve">fundamental due process </w:t>
      </w:r>
      <w:r w:rsidRPr="00DA1C2D">
        <w:t xml:space="preserve">deprivation, just as no harm needed to be shown in </w:t>
      </w:r>
      <w:r w:rsidRPr="00DA1C2D">
        <w:rPr>
          <w:i/>
          <w:iCs/>
        </w:rPr>
        <w:t>Patty</w:t>
      </w:r>
      <w:r w:rsidRPr="00DA1C2D">
        <w:t xml:space="preserve">, </w:t>
      </w:r>
      <w:r w:rsidRPr="00DA1C2D">
        <w:rPr>
          <w:i/>
          <w:iCs/>
        </w:rPr>
        <w:t>Rory</w:t>
      </w:r>
      <w:r w:rsidRPr="00DA1C2D">
        <w:t xml:space="preserve">, </w:t>
      </w:r>
      <w:r w:rsidRPr="00DA1C2D">
        <w:rPr>
          <w:i/>
          <w:iCs/>
        </w:rPr>
        <w:t>Parker</w:t>
      </w:r>
      <w:r w:rsidRPr="00DA1C2D">
        <w:t>, and the other cases cited above.</w:t>
      </w:r>
      <w:r w:rsidR="00DA1C2D">
        <w:t xml:space="preserve">  Harm is presumed when a trial is fundamentally unfair.</w:t>
      </w:r>
      <w:r w:rsidRPr="00DA1C2D">
        <w:t>"</w:t>
      </w:r>
    </w:p>
    <w:p w14:paraId="6DBC4483" w14:textId="2C08F716" w:rsidR="005850DA" w:rsidRPr="005850DA" w:rsidRDefault="005850DA">
      <w:pPr>
        <w:spacing w:after="0" w:line="240" w:lineRule="auto"/>
        <w:jc w:val="both"/>
        <w:rPr>
          <w:bCs/>
          <w:i/>
          <w:iCs/>
        </w:rPr>
      </w:pPr>
    </w:p>
    <w:p w14:paraId="5F0E3A9C" w14:textId="0AD908A5" w:rsidR="005850DA" w:rsidRPr="005850DA" w:rsidRDefault="006B590C" w:rsidP="00AB5375">
      <w:pPr>
        <w:spacing w:after="0" w:line="240" w:lineRule="auto"/>
        <w:jc w:val="both"/>
      </w:pPr>
      <w:r>
        <w:t xml:space="preserve">Then, as a second argument, explain how the client was, in fact, harmed by the </w:t>
      </w:r>
      <w:r w:rsidRPr="00AB5375">
        <w:rPr>
          <w:i/>
        </w:rPr>
        <w:t>Patty</w:t>
      </w:r>
      <w:r>
        <w:t xml:space="preserve"> problems.  To show harm, you’ll need the same affidavits and/or exhibits as discussed in Tip #2.  </w:t>
      </w:r>
    </w:p>
    <w:sectPr w:rsidR="005850DA" w:rsidRPr="005850DA" w:rsidSect="00422B06">
      <w:footerReference w:type="default" r:id="rId8"/>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37FA7" w14:textId="77777777" w:rsidR="007E60AC" w:rsidRDefault="007E60AC" w:rsidP="00422B06">
      <w:pPr>
        <w:spacing w:after="0" w:line="240" w:lineRule="auto"/>
      </w:pPr>
      <w:r>
        <w:separator/>
      </w:r>
    </w:p>
  </w:endnote>
  <w:endnote w:type="continuationSeparator" w:id="0">
    <w:p w14:paraId="0229FE49" w14:textId="77777777" w:rsidR="007E60AC" w:rsidRDefault="007E60AC" w:rsidP="00422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040812"/>
      <w:docPartObj>
        <w:docPartGallery w:val="Page Numbers (Bottom of Page)"/>
        <w:docPartUnique/>
      </w:docPartObj>
    </w:sdtPr>
    <w:sdtEndPr>
      <w:rPr>
        <w:noProof/>
      </w:rPr>
    </w:sdtEndPr>
    <w:sdtContent>
      <w:p w14:paraId="4A10F0CE" w14:textId="6EEB95E5" w:rsidR="00422B06" w:rsidRDefault="00422B06">
        <w:pPr>
          <w:pStyle w:val="Footer"/>
          <w:jc w:val="center"/>
        </w:pPr>
        <w:r>
          <w:fldChar w:fldCharType="begin"/>
        </w:r>
        <w:r>
          <w:instrText xml:space="preserve"> PAGE   \* MERGEFORMAT </w:instrText>
        </w:r>
        <w:r>
          <w:fldChar w:fldCharType="separate"/>
        </w:r>
        <w:r w:rsidR="00B57EEC">
          <w:rPr>
            <w:noProof/>
          </w:rPr>
          <w:t>- 3 -</w:t>
        </w:r>
        <w:r>
          <w:rPr>
            <w:noProof/>
          </w:rPr>
          <w:fldChar w:fldCharType="end"/>
        </w:r>
      </w:p>
    </w:sdtContent>
  </w:sdt>
  <w:p w14:paraId="47ACADB4" w14:textId="77777777" w:rsidR="00422B06" w:rsidRDefault="00422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950A5" w14:textId="77777777" w:rsidR="007E60AC" w:rsidRDefault="007E60AC" w:rsidP="00422B06">
      <w:pPr>
        <w:spacing w:after="0" w:line="240" w:lineRule="auto"/>
      </w:pPr>
      <w:r>
        <w:separator/>
      </w:r>
    </w:p>
  </w:footnote>
  <w:footnote w:type="continuationSeparator" w:id="0">
    <w:p w14:paraId="766AA207" w14:textId="77777777" w:rsidR="007E60AC" w:rsidRDefault="007E60AC" w:rsidP="00422B06">
      <w:pPr>
        <w:spacing w:after="0" w:line="240" w:lineRule="auto"/>
      </w:pPr>
      <w:r>
        <w:continuationSeparator/>
      </w:r>
    </w:p>
  </w:footnote>
  <w:footnote w:id="1">
    <w:p w14:paraId="2E05AE39" w14:textId="563E9289" w:rsidR="00926DEF" w:rsidRPr="00926DEF" w:rsidRDefault="00926DEF" w:rsidP="00926DEF">
      <w:pPr>
        <w:pStyle w:val="FootnoteText"/>
        <w:jc w:val="both"/>
        <w:rPr>
          <w:sz w:val="24"/>
          <w:szCs w:val="24"/>
        </w:rPr>
      </w:pPr>
      <w:r w:rsidRPr="00926DEF">
        <w:rPr>
          <w:rStyle w:val="FootnoteReference"/>
          <w:sz w:val="24"/>
          <w:szCs w:val="24"/>
        </w:rPr>
        <w:footnoteRef/>
      </w:r>
      <w:r w:rsidRPr="00926DEF">
        <w:rPr>
          <w:sz w:val="24"/>
          <w:szCs w:val="24"/>
        </w:rPr>
        <w:t xml:space="preserve"> </w:t>
      </w:r>
      <w:r w:rsidRPr="00926DEF">
        <w:rPr>
          <w:i/>
          <w:iCs/>
          <w:sz w:val="24"/>
          <w:szCs w:val="24"/>
        </w:rPr>
        <w:t>Adoption of Rory</w:t>
      </w:r>
      <w:r w:rsidRPr="00926DEF">
        <w:rPr>
          <w:sz w:val="24"/>
          <w:szCs w:val="24"/>
        </w:rPr>
        <w:t xml:space="preserve">, 80 Mass. App. Ct. 454 (2011) (judgment void for failure to comport with due process where father was deprived of his right to counsel); </w:t>
      </w:r>
      <w:r w:rsidR="00B265D2">
        <w:rPr>
          <w:i/>
          <w:iCs/>
          <w:sz w:val="24"/>
          <w:szCs w:val="24"/>
        </w:rPr>
        <w:t>Adoption of Jacqui</w:t>
      </w:r>
      <w:r w:rsidRPr="00926DEF">
        <w:rPr>
          <w:sz w:val="24"/>
          <w:szCs w:val="24"/>
        </w:rPr>
        <w:t>, 80 Mass. App. Ct. 713 (2011)</w:t>
      </w:r>
      <w:r w:rsidR="00B265D2">
        <w:rPr>
          <w:sz w:val="24"/>
          <w:szCs w:val="24"/>
        </w:rPr>
        <w:t xml:space="preserve"> (t</w:t>
      </w:r>
      <w:r w:rsidRPr="00926DEF">
        <w:rPr>
          <w:sz w:val="24"/>
          <w:szCs w:val="24"/>
        </w:rPr>
        <w:t>ermination of incarcerated father’s parental rights without notice was a due process violation</w:t>
      </w:r>
      <w:r w:rsidR="00B265D2">
        <w:rPr>
          <w:sz w:val="24"/>
          <w:szCs w:val="24"/>
        </w:rPr>
        <w:t>);</w:t>
      </w:r>
      <w:r w:rsidR="006D64BE">
        <w:rPr>
          <w:i/>
          <w:iCs/>
          <w:sz w:val="24"/>
          <w:szCs w:val="24"/>
        </w:rPr>
        <w:t xml:space="preserve"> </w:t>
      </w:r>
      <w:r w:rsidRPr="00B265D2">
        <w:rPr>
          <w:i/>
          <w:iCs/>
          <w:sz w:val="24"/>
          <w:szCs w:val="24"/>
        </w:rPr>
        <w:t>Adoption of Parker</w:t>
      </w:r>
      <w:r w:rsidRPr="00926DEF">
        <w:rPr>
          <w:sz w:val="24"/>
          <w:szCs w:val="24"/>
        </w:rPr>
        <w:t>, 77 Mass. App. Ct. 619 (2010)</w:t>
      </w:r>
      <w:r w:rsidR="00B265D2">
        <w:rPr>
          <w:sz w:val="24"/>
          <w:szCs w:val="24"/>
        </w:rPr>
        <w:t xml:space="preserve"> (j</w:t>
      </w:r>
      <w:r w:rsidRPr="00926DEF">
        <w:rPr>
          <w:sz w:val="24"/>
          <w:szCs w:val="24"/>
        </w:rPr>
        <w:t>udge’s resolution of disputed facts through counsel proffers</w:t>
      </w:r>
      <w:r w:rsidR="00B265D2">
        <w:rPr>
          <w:sz w:val="24"/>
          <w:szCs w:val="24"/>
        </w:rPr>
        <w:t xml:space="preserve"> </w:t>
      </w:r>
      <w:r w:rsidRPr="00926DEF">
        <w:rPr>
          <w:sz w:val="24"/>
          <w:szCs w:val="24"/>
        </w:rPr>
        <w:t>– even though lawyers agreed to the process – deprived mother of opportunity to be heard meaningfull</w:t>
      </w:r>
      <w:r w:rsidR="00B265D2">
        <w:rPr>
          <w:sz w:val="24"/>
          <w:szCs w:val="24"/>
        </w:rPr>
        <w:t>y);</w:t>
      </w:r>
      <w:r w:rsidR="006D64BE">
        <w:rPr>
          <w:i/>
          <w:iCs/>
          <w:sz w:val="24"/>
          <w:szCs w:val="24"/>
        </w:rPr>
        <w:t xml:space="preserve"> </w:t>
      </w:r>
      <w:r w:rsidRPr="00B265D2">
        <w:rPr>
          <w:i/>
          <w:iCs/>
          <w:sz w:val="24"/>
          <w:szCs w:val="24"/>
        </w:rPr>
        <w:t>Adoption of Edmund</w:t>
      </w:r>
      <w:r w:rsidRPr="00926DEF">
        <w:rPr>
          <w:sz w:val="24"/>
          <w:szCs w:val="24"/>
        </w:rPr>
        <w:t>, 50 Mass. App. Ct. 526 (2000)</w:t>
      </w:r>
      <w:r>
        <w:rPr>
          <w:sz w:val="24"/>
          <w:szCs w:val="24"/>
        </w:rPr>
        <w:t xml:space="preserve"> (o</w:t>
      </w:r>
      <w:r w:rsidRPr="00926DEF">
        <w:rPr>
          <w:sz w:val="24"/>
          <w:szCs w:val="24"/>
        </w:rPr>
        <w:t xml:space="preserve">ut-of-state incarcerated </w:t>
      </w:r>
      <w:r w:rsidR="006D64BE">
        <w:rPr>
          <w:sz w:val="24"/>
          <w:szCs w:val="24"/>
        </w:rPr>
        <w:t>f</w:t>
      </w:r>
      <w:r w:rsidRPr="00926DEF">
        <w:rPr>
          <w:sz w:val="24"/>
          <w:szCs w:val="24"/>
        </w:rPr>
        <w:t xml:space="preserve">ather not afforded meaningful opportunity to be heard </w:t>
      </w:r>
      <w:r w:rsidR="006D64BE">
        <w:rPr>
          <w:sz w:val="24"/>
          <w:szCs w:val="24"/>
        </w:rPr>
        <w:t>because</w:t>
      </w:r>
      <w:r w:rsidRPr="00926DEF">
        <w:rPr>
          <w:sz w:val="24"/>
          <w:szCs w:val="24"/>
        </w:rPr>
        <w:t xml:space="preserve"> phone participation failed and </w:t>
      </w:r>
      <w:r w:rsidR="006D64BE">
        <w:rPr>
          <w:sz w:val="24"/>
          <w:szCs w:val="24"/>
        </w:rPr>
        <w:t xml:space="preserve">court offered </w:t>
      </w:r>
      <w:r w:rsidRPr="00926DEF">
        <w:rPr>
          <w:sz w:val="24"/>
          <w:szCs w:val="24"/>
        </w:rPr>
        <w:t xml:space="preserve">no other procedure </w:t>
      </w:r>
      <w:r w:rsidR="00B265D2">
        <w:rPr>
          <w:sz w:val="24"/>
          <w:szCs w:val="24"/>
        </w:rPr>
        <w:t>for meaningful participation);</w:t>
      </w:r>
      <w:r w:rsidRPr="00926DEF">
        <w:rPr>
          <w:sz w:val="24"/>
          <w:szCs w:val="24"/>
        </w:rPr>
        <w:t xml:space="preserve"> </w:t>
      </w:r>
      <w:r w:rsidRPr="00926DEF">
        <w:rPr>
          <w:i/>
          <w:iCs/>
          <w:sz w:val="24"/>
          <w:szCs w:val="24"/>
        </w:rPr>
        <w:t>Adoption of Whitney</w:t>
      </w:r>
      <w:r w:rsidRPr="00926DEF">
        <w:rPr>
          <w:sz w:val="24"/>
          <w:szCs w:val="24"/>
        </w:rPr>
        <w:t>, 53 Mass. App. Ct. 832 (2002)</w:t>
      </w:r>
      <w:r>
        <w:rPr>
          <w:sz w:val="24"/>
          <w:szCs w:val="24"/>
        </w:rPr>
        <w:t xml:space="preserve"> (j</w:t>
      </w:r>
      <w:r w:rsidRPr="00926DEF">
        <w:rPr>
          <w:sz w:val="24"/>
          <w:szCs w:val="24"/>
        </w:rPr>
        <w:t>udge</w:t>
      </w:r>
      <w:r w:rsidR="006D64BE">
        <w:rPr>
          <w:sz w:val="24"/>
          <w:szCs w:val="24"/>
        </w:rPr>
        <w:t xml:space="preserve"> failed to</w:t>
      </w:r>
      <w:r w:rsidRPr="00926DEF">
        <w:rPr>
          <w:sz w:val="24"/>
          <w:szCs w:val="24"/>
        </w:rPr>
        <w:t xml:space="preserve"> ensure meaningful participation by </w:t>
      </w:r>
      <w:r w:rsidR="006D64BE">
        <w:rPr>
          <w:sz w:val="24"/>
          <w:szCs w:val="24"/>
        </w:rPr>
        <w:t xml:space="preserve">incarcerated </w:t>
      </w:r>
      <w:r w:rsidRPr="00926DEF">
        <w:rPr>
          <w:sz w:val="24"/>
          <w:szCs w:val="24"/>
        </w:rPr>
        <w:t xml:space="preserve">parent in TPR proceeding, </w:t>
      </w:r>
      <w:r w:rsidR="006D64BE">
        <w:rPr>
          <w:sz w:val="24"/>
          <w:szCs w:val="24"/>
        </w:rPr>
        <w:t>noting that how judge can do that is</w:t>
      </w:r>
      <w:r w:rsidRPr="00926DEF">
        <w:rPr>
          <w:sz w:val="24"/>
          <w:szCs w:val="24"/>
        </w:rPr>
        <w:t xml:space="preserve"> largely left to judge’s discretion based on circumstances</w:t>
      </w:r>
      <w:r>
        <w:rPr>
          <w:sz w:val="24"/>
          <w:szCs w:val="24"/>
        </w:rPr>
        <w:t>).</w:t>
      </w:r>
    </w:p>
    <w:p w14:paraId="6AF740AC" w14:textId="2AF99C1F" w:rsidR="00926DEF" w:rsidRPr="00926DEF" w:rsidRDefault="00926DEF" w:rsidP="00926DEF">
      <w:pPr>
        <w:pStyle w:val="FootnoteText"/>
        <w:jc w:val="both"/>
        <w:rPr>
          <w:sz w:val="24"/>
          <w:szCs w:val="24"/>
        </w:rPr>
      </w:pPr>
    </w:p>
    <w:p w14:paraId="6ADC243E" w14:textId="2A78F142" w:rsidR="00926DEF" w:rsidRPr="00926DEF" w:rsidRDefault="00926DEF" w:rsidP="00926DEF">
      <w:pPr>
        <w:pStyle w:val="FootnoteText"/>
        <w:jc w:val="both"/>
        <w:rPr>
          <w:sz w:val="24"/>
          <w:szCs w:val="24"/>
        </w:rPr>
      </w:pPr>
    </w:p>
    <w:p w14:paraId="69304464" w14:textId="1A6749AC" w:rsidR="00926DEF" w:rsidRPr="00926DEF" w:rsidRDefault="00926DEF" w:rsidP="00926DEF">
      <w:pPr>
        <w:pStyle w:val="FootnoteText"/>
        <w:jc w:val="both"/>
        <w:rPr>
          <w:sz w:val="24"/>
          <w:szCs w:val="24"/>
        </w:rPr>
      </w:pPr>
    </w:p>
    <w:p w14:paraId="17A8157C" w14:textId="7BBC9960" w:rsidR="00926DEF" w:rsidRPr="00926DEF" w:rsidRDefault="00926DEF" w:rsidP="00926DEF">
      <w:pPr>
        <w:pStyle w:val="FootnoteText"/>
        <w:jc w:val="both"/>
        <w:rPr>
          <w:sz w:val="24"/>
          <w:szCs w:val="24"/>
        </w:rPr>
      </w:pPr>
    </w:p>
    <w:p w14:paraId="06E595D7" w14:textId="264D0313" w:rsidR="00926DEF" w:rsidRPr="00926DEF" w:rsidRDefault="00926DEF" w:rsidP="00926DEF">
      <w:pPr>
        <w:pStyle w:val="FootnoteText"/>
        <w:jc w:val="both"/>
        <w:rPr>
          <w:sz w:val="24"/>
          <w:szCs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277BB"/>
    <w:multiLevelType w:val="hybridMultilevel"/>
    <w:tmpl w:val="0B869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31A37"/>
    <w:multiLevelType w:val="hybridMultilevel"/>
    <w:tmpl w:val="EAE0566A"/>
    <w:lvl w:ilvl="0" w:tplc="AFC46D80">
      <w:start w:val="1"/>
      <w:numFmt w:val="bullet"/>
      <w:lvlText w:val=" "/>
      <w:lvlJc w:val="left"/>
      <w:pPr>
        <w:tabs>
          <w:tab w:val="num" w:pos="720"/>
        </w:tabs>
        <w:ind w:left="720" w:hanging="360"/>
      </w:pPr>
      <w:rPr>
        <w:rFonts w:ascii="Calibri" w:hAnsi="Calibri" w:hint="default"/>
      </w:rPr>
    </w:lvl>
    <w:lvl w:ilvl="1" w:tplc="36F6DC32" w:tentative="1">
      <w:start w:val="1"/>
      <w:numFmt w:val="bullet"/>
      <w:lvlText w:val=" "/>
      <w:lvlJc w:val="left"/>
      <w:pPr>
        <w:tabs>
          <w:tab w:val="num" w:pos="1440"/>
        </w:tabs>
        <w:ind w:left="1440" w:hanging="360"/>
      </w:pPr>
      <w:rPr>
        <w:rFonts w:ascii="Calibri" w:hAnsi="Calibri" w:hint="default"/>
      </w:rPr>
    </w:lvl>
    <w:lvl w:ilvl="2" w:tplc="E4D8ED08" w:tentative="1">
      <w:start w:val="1"/>
      <w:numFmt w:val="bullet"/>
      <w:lvlText w:val=" "/>
      <w:lvlJc w:val="left"/>
      <w:pPr>
        <w:tabs>
          <w:tab w:val="num" w:pos="2160"/>
        </w:tabs>
        <w:ind w:left="2160" w:hanging="360"/>
      </w:pPr>
      <w:rPr>
        <w:rFonts w:ascii="Calibri" w:hAnsi="Calibri" w:hint="default"/>
      </w:rPr>
    </w:lvl>
    <w:lvl w:ilvl="3" w:tplc="D61ED09E" w:tentative="1">
      <w:start w:val="1"/>
      <w:numFmt w:val="bullet"/>
      <w:lvlText w:val=" "/>
      <w:lvlJc w:val="left"/>
      <w:pPr>
        <w:tabs>
          <w:tab w:val="num" w:pos="2880"/>
        </w:tabs>
        <w:ind w:left="2880" w:hanging="360"/>
      </w:pPr>
      <w:rPr>
        <w:rFonts w:ascii="Calibri" w:hAnsi="Calibri" w:hint="default"/>
      </w:rPr>
    </w:lvl>
    <w:lvl w:ilvl="4" w:tplc="F542A866" w:tentative="1">
      <w:start w:val="1"/>
      <w:numFmt w:val="bullet"/>
      <w:lvlText w:val=" "/>
      <w:lvlJc w:val="left"/>
      <w:pPr>
        <w:tabs>
          <w:tab w:val="num" w:pos="3600"/>
        </w:tabs>
        <w:ind w:left="3600" w:hanging="360"/>
      </w:pPr>
      <w:rPr>
        <w:rFonts w:ascii="Calibri" w:hAnsi="Calibri" w:hint="default"/>
      </w:rPr>
    </w:lvl>
    <w:lvl w:ilvl="5" w:tplc="04044F0C" w:tentative="1">
      <w:start w:val="1"/>
      <w:numFmt w:val="bullet"/>
      <w:lvlText w:val=" "/>
      <w:lvlJc w:val="left"/>
      <w:pPr>
        <w:tabs>
          <w:tab w:val="num" w:pos="4320"/>
        </w:tabs>
        <w:ind w:left="4320" w:hanging="360"/>
      </w:pPr>
      <w:rPr>
        <w:rFonts w:ascii="Calibri" w:hAnsi="Calibri" w:hint="default"/>
      </w:rPr>
    </w:lvl>
    <w:lvl w:ilvl="6" w:tplc="DB98FADA" w:tentative="1">
      <w:start w:val="1"/>
      <w:numFmt w:val="bullet"/>
      <w:lvlText w:val=" "/>
      <w:lvlJc w:val="left"/>
      <w:pPr>
        <w:tabs>
          <w:tab w:val="num" w:pos="5040"/>
        </w:tabs>
        <w:ind w:left="5040" w:hanging="360"/>
      </w:pPr>
      <w:rPr>
        <w:rFonts w:ascii="Calibri" w:hAnsi="Calibri" w:hint="default"/>
      </w:rPr>
    </w:lvl>
    <w:lvl w:ilvl="7" w:tplc="1D6648F2" w:tentative="1">
      <w:start w:val="1"/>
      <w:numFmt w:val="bullet"/>
      <w:lvlText w:val=" "/>
      <w:lvlJc w:val="left"/>
      <w:pPr>
        <w:tabs>
          <w:tab w:val="num" w:pos="5760"/>
        </w:tabs>
        <w:ind w:left="5760" w:hanging="360"/>
      </w:pPr>
      <w:rPr>
        <w:rFonts w:ascii="Calibri" w:hAnsi="Calibri" w:hint="default"/>
      </w:rPr>
    </w:lvl>
    <w:lvl w:ilvl="8" w:tplc="E81298CC" w:tentative="1">
      <w:start w:val="1"/>
      <w:numFmt w:val="bullet"/>
      <w:lvlText w:val=" "/>
      <w:lvlJc w:val="left"/>
      <w:pPr>
        <w:tabs>
          <w:tab w:val="num" w:pos="6480"/>
        </w:tabs>
        <w:ind w:left="6480" w:hanging="360"/>
      </w:pPr>
      <w:rPr>
        <w:rFonts w:ascii="Calibri" w:hAnsi="Calibri" w:hint="default"/>
      </w:rPr>
    </w:lvl>
  </w:abstractNum>
  <w:abstractNum w:abstractNumId="2" w15:restartNumberingAfterBreak="0">
    <w:nsid w:val="42FD395D"/>
    <w:multiLevelType w:val="hybridMultilevel"/>
    <w:tmpl w:val="E5AEEA78"/>
    <w:lvl w:ilvl="0" w:tplc="C4FC8A2A">
      <w:start w:val="1"/>
      <w:numFmt w:val="bullet"/>
      <w:lvlText w:val="•"/>
      <w:lvlJc w:val="left"/>
      <w:pPr>
        <w:tabs>
          <w:tab w:val="num" w:pos="720"/>
        </w:tabs>
        <w:ind w:left="720" w:hanging="360"/>
      </w:pPr>
      <w:rPr>
        <w:rFonts w:ascii="Arial" w:hAnsi="Arial" w:hint="default"/>
      </w:rPr>
    </w:lvl>
    <w:lvl w:ilvl="1" w:tplc="EC028AEE" w:tentative="1">
      <w:start w:val="1"/>
      <w:numFmt w:val="bullet"/>
      <w:lvlText w:val="•"/>
      <w:lvlJc w:val="left"/>
      <w:pPr>
        <w:tabs>
          <w:tab w:val="num" w:pos="1440"/>
        </w:tabs>
        <w:ind w:left="1440" w:hanging="360"/>
      </w:pPr>
      <w:rPr>
        <w:rFonts w:ascii="Arial" w:hAnsi="Arial" w:hint="default"/>
      </w:rPr>
    </w:lvl>
    <w:lvl w:ilvl="2" w:tplc="3BC08A04" w:tentative="1">
      <w:start w:val="1"/>
      <w:numFmt w:val="bullet"/>
      <w:lvlText w:val="•"/>
      <w:lvlJc w:val="left"/>
      <w:pPr>
        <w:tabs>
          <w:tab w:val="num" w:pos="2160"/>
        </w:tabs>
        <w:ind w:left="2160" w:hanging="360"/>
      </w:pPr>
      <w:rPr>
        <w:rFonts w:ascii="Arial" w:hAnsi="Arial" w:hint="default"/>
      </w:rPr>
    </w:lvl>
    <w:lvl w:ilvl="3" w:tplc="47F0359A" w:tentative="1">
      <w:start w:val="1"/>
      <w:numFmt w:val="bullet"/>
      <w:lvlText w:val="•"/>
      <w:lvlJc w:val="left"/>
      <w:pPr>
        <w:tabs>
          <w:tab w:val="num" w:pos="2880"/>
        </w:tabs>
        <w:ind w:left="2880" w:hanging="360"/>
      </w:pPr>
      <w:rPr>
        <w:rFonts w:ascii="Arial" w:hAnsi="Arial" w:hint="default"/>
      </w:rPr>
    </w:lvl>
    <w:lvl w:ilvl="4" w:tplc="E38405C6" w:tentative="1">
      <w:start w:val="1"/>
      <w:numFmt w:val="bullet"/>
      <w:lvlText w:val="•"/>
      <w:lvlJc w:val="left"/>
      <w:pPr>
        <w:tabs>
          <w:tab w:val="num" w:pos="3600"/>
        </w:tabs>
        <w:ind w:left="3600" w:hanging="360"/>
      </w:pPr>
      <w:rPr>
        <w:rFonts w:ascii="Arial" w:hAnsi="Arial" w:hint="default"/>
      </w:rPr>
    </w:lvl>
    <w:lvl w:ilvl="5" w:tplc="C1521614" w:tentative="1">
      <w:start w:val="1"/>
      <w:numFmt w:val="bullet"/>
      <w:lvlText w:val="•"/>
      <w:lvlJc w:val="left"/>
      <w:pPr>
        <w:tabs>
          <w:tab w:val="num" w:pos="4320"/>
        </w:tabs>
        <w:ind w:left="4320" w:hanging="360"/>
      </w:pPr>
      <w:rPr>
        <w:rFonts w:ascii="Arial" w:hAnsi="Arial" w:hint="default"/>
      </w:rPr>
    </w:lvl>
    <w:lvl w:ilvl="6" w:tplc="5CE2E06E" w:tentative="1">
      <w:start w:val="1"/>
      <w:numFmt w:val="bullet"/>
      <w:lvlText w:val="•"/>
      <w:lvlJc w:val="left"/>
      <w:pPr>
        <w:tabs>
          <w:tab w:val="num" w:pos="5040"/>
        </w:tabs>
        <w:ind w:left="5040" w:hanging="360"/>
      </w:pPr>
      <w:rPr>
        <w:rFonts w:ascii="Arial" w:hAnsi="Arial" w:hint="default"/>
      </w:rPr>
    </w:lvl>
    <w:lvl w:ilvl="7" w:tplc="7C3C975C" w:tentative="1">
      <w:start w:val="1"/>
      <w:numFmt w:val="bullet"/>
      <w:lvlText w:val="•"/>
      <w:lvlJc w:val="left"/>
      <w:pPr>
        <w:tabs>
          <w:tab w:val="num" w:pos="5760"/>
        </w:tabs>
        <w:ind w:left="5760" w:hanging="360"/>
      </w:pPr>
      <w:rPr>
        <w:rFonts w:ascii="Arial" w:hAnsi="Arial" w:hint="default"/>
      </w:rPr>
    </w:lvl>
    <w:lvl w:ilvl="8" w:tplc="26D2BF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99D0487"/>
    <w:multiLevelType w:val="hybridMultilevel"/>
    <w:tmpl w:val="D9AE6A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A4456B1"/>
    <w:multiLevelType w:val="hybridMultilevel"/>
    <w:tmpl w:val="3528BFBC"/>
    <w:lvl w:ilvl="0" w:tplc="312CD474">
      <w:start w:val="1"/>
      <w:numFmt w:val="bullet"/>
      <w:lvlText w:val="•"/>
      <w:lvlJc w:val="left"/>
      <w:pPr>
        <w:tabs>
          <w:tab w:val="num" w:pos="720"/>
        </w:tabs>
        <w:ind w:left="720" w:hanging="360"/>
      </w:pPr>
      <w:rPr>
        <w:rFonts w:ascii="Arial" w:hAnsi="Arial" w:hint="default"/>
      </w:rPr>
    </w:lvl>
    <w:lvl w:ilvl="1" w:tplc="E66A0D14" w:tentative="1">
      <w:start w:val="1"/>
      <w:numFmt w:val="bullet"/>
      <w:lvlText w:val="•"/>
      <w:lvlJc w:val="left"/>
      <w:pPr>
        <w:tabs>
          <w:tab w:val="num" w:pos="1440"/>
        </w:tabs>
        <w:ind w:left="1440" w:hanging="360"/>
      </w:pPr>
      <w:rPr>
        <w:rFonts w:ascii="Arial" w:hAnsi="Arial" w:hint="default"/>
      </w:rPr>
    </w:lvl>
    <w:lvl w:ilvl="2" w:tplc="FE56BD48" w:tentative="1">
      <w:start w:val="1"/>
      <w:numFmt w:val="bullet"/>
      <w:lvlText w:val="•"/>
      <w:lvlJc w:val="left"/>
      <w:pPr>
        <w:tabs>
          <w:tab w:val="num" w:pos="2160"/>
        </w:tabs>
        <w:ind w:left="2160" w:hanging="360"/>
      </w:pPr>
      <w:rPr>
        <w:rFonts w:ascii="Arial" w:hAnsi="Arial" w:hint="default"/>
      </w:rPr>
    </w:lvl>
    <w:lvl w:ilvl="3" w:tplc="2156235A" w:tentative="1">
      <w:start w:val="1"/>
      <w:numFmt w:val="bullet"/>
      <w:lvlText w:val="•"/>
      <w:lvlJc w:val="left"/>
      <w:pPr>
        <w:tabs>
          <w:tab w:val="num" w:pos="2880"/>
        </w:tabs>
        <w:ind w:left="2880" w:hanging="360"/>
      </w:pPr>
      <w:rPr>
        <w:rFonts w:ascii="Arial" w:hAnsi="Arial" w:hint="default"/>
      </w:rPr>
    </w:lvl>
    <w:lvl w:ilvl="4" w:tplc="7EAC3496" w:tentative="1">
      <w:start w:val="1"/>
      <w:numFmt w:val="bullet"/>
      <w:lvlText w:val="•"/>
      <w:lvlJc w:val="left"/>
      <w:pPr>
        <w:tabs>
          <w:tab w:val="num" w:pos="3600"/>
        </w:tabs>
        <w:ind w:left="3600" w:hanging="360"/>
      </w:pPr>
      <w:rPr>
        <w:rFonts w:ascii="Arial" w:hAnsi="Arial" w:hint="default"/>
      </w:rPr>
    </w:lvl>
    <w:lvl w:ilvl="5" w:tplc="B6428552" w:tentative="1">
      <w:start w:val="1"/>
      <w:numFmt w:val="bullet"/>
      <w:lvlText w:val="•"/>
      <w:lvlJc w:val="left"/>
      <w:pPr>
        <w:tabs>
          <w:tab w:val="num" w:pos="4320"/>
        </w:tabs>
        <w:ind w:left="4320" w:hanging="360"/>
      </w:pPr>
      <w:rPr>
        <w:rFonts w:ascii="Arial" w:hAnsi="Arial" w:hint="default"/>
      </w:rPr>
    </w:lvl>
    <w:lvl w:ilvl="6" w:tplc="FBF45D90" w:tentative="1">
      <w:start w:val="1"/>
      <w:numFmt w:val="bullet"/>
      <w:lvlText w:val="•"/>
      <w:lvlJc w:val="left"/>
      <w:pPr>
        <w:tabs>
          <w:tab w:val="num" w:pos="5040"/>
        </w:tabs>
        <w:ind w:left="5040" w:hanging="360"/>
      </w:pPr>
      <w:rPr>
        <w:rFonts w:ascii="Arial" w:hAnsi="Arial" w:hint="default"/>
      </w:rPr>
    </w:lvl>
    <w:lvl w:ilvl="7" w:tplc="FA4AB26A" w:tentative="1">
      <w:start w:val="1"/>
      <w:numFmt w:val="bullet"/>
      <w:lvlText w:val="•"/>
      <w:lvlJc w:val="left"/>
      <w:pPr>
        <w:tabs>
          <w:tab w:val="num" w:pos="5760"/>
        </w:tabs>
        <w:ind w:left="5760" w:hanging="360"/>
      </w:pPr>
      <w:rPr>
        <w:rFonts w:ascii="Arial" w:hAnsi="Arial" w:hint="default"/>
      </w:rPr>
    </w:lvl>
    <w:lvl w:ilvl="8" w:tplc="06E28AB0" w:tentative="1">
      <w:start w:val="1"/>
      <w:numFmt w:val="bullet"/>
      <w:lvlText w:val="•"/>
      <w:lvlJc w:val="left"/>
      <w:pPr>
        <w:tabs>
          <w:tab w:val="num" w:pos="6480"/>
        </w:tabs>
        <w:ind w:left="6480" w:hanging="360"/>
      </w:pPr>
      <w:rPr>
        <w:rFonts w:ascii="Arial" w:hAnsi="Arial" w:hint="default"/>
      </w:rPr>
    </w:lvl>
  </w:abstractNum>
  <w:num w:numId="1" w16cid:durableId="1685784190">
    <w:abstractNumId w:val="1"/>
  </w:num>
  <w:num w:numId="2" w16cid:durableId="1487012533">
    <w:abstractNumId w:val="3"/>
  </w:num>
  <w:num w:numId="3" w16cid:durableId="224294107">
    <w:abstractNumId w:val="2"/>
  </w:num>
  <w:num w:numId="4" w16cid:durableId="866136699">
    <w:abstractNumId w:val="4"/>
  </w:num>
  <w:num w:numId="5" w16cid:durableId="1826774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0DA"/>
    <w:rsid w:val="00006CEB"/>
    <w:rsid w:val="000E04F3"/>
    <w:rsid w:val="00161D07"/>
    <w:rsid w:val="001862C3"/>
    <w:rsid w:val="001B6C2C"/>
    <w:rsid w:val="001E27DE"/>
    <w:rsid w:val="00221411"/>
    <w:rsid w:val="0024277C"/>
    <w:rsid w:val="00351429"/>
    <w:rsid w:val="003B63E9"/>
    <w:rsid w:val="00422B06"/>
    <w:rsid w:val="00437C19"/>
    <w:rsid w:val="00463073"/>
    <w:rsid w:val="00497AA0"/>
    <w:rsid w:val="004F2CD1"/>
    <w:rsid w:val="00506812"/>
    <w:rsid w:val="005668FB"/>
    <w:rsid w:val="005850DA"/>
    <w:rsid w:val="005B5E55"/>
    <w:rsid w:val="005C47DA"/>
    <w:rsid w:val="005E7E0F"/>
    <w:rsid w:val="00667030"/>
    <w:rsid w:val="006B590C"/>
    <w:rsid w:val="006D64BE"/>
    <w:rsid w:val="0072066F"/>
    <w:rsid w:val="00752DB8"/>
    <w:rsid w:val="00753C46"/>
    <w:rsid w:val="007E60AC"/>
    <w:rsid w:val="0083604A"/>
    <w:rsid w:val="008A6281"/>
    <w:rsid w:val="00926DEF"/>
    <w:rsid w:val="00A0590A"/>
    <w:rsid w:val="00AB5375"/>
    <w:rsid w:val="00B265D2"/>
    <w:rsid w:val="00B57EEC"/>
    <w:rsid w:val="00CE57DB"/>
    <w:rsid w:val="00D147BB"/>
    <w:rsid w:val="00DA1C2D"/>
    <w:rsid w:val="00E7323F"/>
    <w:rsid w:val="00F152DE"/>
    <w:rsid w:val="00F27D6D"/>
    <w:rsid w:val="00F84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526DD"/>
  <w15:chartTrackingRefBased/>
  <w15:docId w15:val="{6B7A81CC-469C-4281-8CA5-2659A18A1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0DA"/>
    <w:pPr>
      <w:spacing w:after="200" w:line="27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B06"/>
    <w:rPr>
      <w:rFonts w:ascii="Times New Roman" w:hAnsi="Times New Roman" w:cs="Times New Roman"/>
      <w:sz w:val="24"/>
      <w:szCs w:val="24"/>
    </w:rPr>
  </w:style>
  <w:style w:type="paragraph" w:styleId="Footer">
    <w:name w:val="footer"/>
    <w:basedOn w:val="Normal"/>
    <w:link w:val="FooterChar"/>
    <w:uiPriority w:val="99"/>
    <w:unhideWhenUsed/>
    <w:rsid w:val="00422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B06"/>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422B06"/>
    <w:rPr>
      <w:sz w:val="16"/>
      <w:szCs w:val="16"/>
    </w:rPr>
  </w:style>
  <w:style w:type="paragraph" w:styleId="CommentText">
    <w:name w:val="annotation text"/>
    <w:basedOn w:val="Normal"/>
    <w:link w:val="CommentTextChar"/>
    <w:uiPriority w:val="99"/>
    <w:unhideWhenUsed/>
    <w:rsid w:val="00422B06"/>
    <w:pPr>
      <w:spacing w:after="160"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422B06"/>
    <w:rPr>
      <w:sz w:val="20"/>
      <w:szCs w:val="20"/>
    </w:rPr>
  </w:style>
  <w:style w:type="paragraph" w:styleId="ListParagraph">
    <w:name w:val="List Paragraph"/>
    <w:basedOn w:val="Normal"/>
    <w:uiPriority w:val="34"/>
    <w:qFormat/>
    <w:rsid w:val="00497AA0"/>
    <w:pPr>
      <w:spacing w:after="160" w:line="259" w:lineRule="auto"/>
      <w:ind w:left="720"/>
      <w:contextualSpacing/>
    </w:pPr>
    <w:rPr>
      <w:rFonts w:asciiTheme="minorHAnsi" w:hAnsiTheme="minorHAnsi" w:cstheme="minorBidi"/>
      <w:sz w:val="22"/>
      <w:szCs w:val="22"/>
    </w:rPr>
  </w:style>
  <w:style w:type="paragraph" w:styleId="NormalWeb">
    <w:name w:val="Normal (Web)"/>
    <w:basedOn w:val="Normal"/>
    <w:uiPriority w:val="99"/>
    <w:semiHidden/>
    <w:unhideWhenUsed/>
    <w:rsid w:val="00221411"/>
    <w:pPr>
      <w:spacing w:before="100" w:beforeAutospacing="1" w:after="100" w:afterAutospacing="1" w:line="240" w:lineRule="auto"/>
    </w:pPr>
    <w:rPr>
      <w:rFonts w:eastAsia="Times New Roman"/>
    </w:rPr>
  </w:style>
  <w:style w:type="paragraph" w:styleId="CommentSubject">
    <w:name w:val="annotation subject"/>
    <w:basedOn w:val="CommentText"/>
    <w:next w:val="CommentText"/>
    <w:link w:val="CommentSubjectChar"/>
    <w:uiPriority w:val="99"/>
    <w:semiHidden/>
    <w:unhideWhenUsed/>
    <w:rsid w:val="001B6C2C"/>
    <w:pPr>
      <w:spacing w:after="20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1B6C2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B6C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C2C"/>
    <w:rPr>
      <w:rFonts w:ascii="Segoe UI" w:hAnsi="Segoe UI" w:cs="Segoe UI"/>
      <w:sz w:val="18"/>
      <w:szCs w:val="18"/>
    </w:rPr>
  </w:style>
  <w:style w:type="paragraph" w:styleId="FootnoteText">
    <w:name w:val="footnote text"/>
    <w:basedOn w:val="Normal"/>
    <w:link w:val="FootnoteTextChar"/>
    <w:uiPriority w:val="99"/>
    <w:semiHidden/>
    <w:unhideWhenUsed/>
    <w:rsid w:val="00926D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6DE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926DEF"/>
    <w:rPr>
      <w:vertAlign w:val="superscript"/>
    </w:rPr>
  </w:style>
  <w:style w:type="paragraph" w:styleId="Revision">
    <w:name w:val="Revision"/>
    <w:hidden/>
    <w:uiPriority w:val="99"/>
    <w:semiHidden/>
    <w:rsid w:val="00AB5375"/>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4856">
      <w:bodyDiv w:val="1"/>
      <w:marLeft w:val="0"/>
      <w:marRight w:val="0"/>
      <w:marTop w:val="0"/>
      <w:marBottom w:val="0"/>
      <w:divBdr>
        <w:top w:val="none" w:sz="0" w:space="0" w:color="auto"/>
        <w:left w:val="none" w:sz="0" w:space="0" w:color="auto"/>
        <w:bottom w:val="none" w:sz="0" w:space="0" w:color="auto"/>
        <w:right w:val="none" w:sz="0" w:space="0" w:color="auto"/>
      </w:divBdr>
    </w:div>
    <w:div w:id="193007520">
      <w:bodyDiv w:val="1"/>
      <w:marLeft w:val="0"/>
      <w:marRight w:val="0"/>
      <w:marTop w:val="0"/>
      <w:marBottom w:val="0"/>
      <w:divBdr>
        <w:top w:val="none" w:sz="0" w:space="0" w:color="auto"/>
        <w:left w:val="none" w:sz="0" w:space="0" w:color="auto"/>
        <w:bottom w:val="none" w:sz="0" w:space="0" w:color="auto"/>
        <w:right w:val="none" w:sz="0" w:space="0" w:color="auto"/>
      </w:divBdr>
    </w:div>
    <w:div w:id="269432915">
      <w:bodyDiv w:val="1"/>
      <w:marLeft w:val="0"/>
      <w:marRight w:val="0"/>
      <w:marTop w:val="0"/>
      <w:marBottom w:val="0"/>
      <w:divBdr>
        <w:top w:val="none" w:sz="0" w:space="0" w:color="auto"/>
        <w:left w:val="none" w:sz="0" w:space="0" w:color="auto"/>
        <w:bottom w:val="none" w:sz="0" w:space="0" w:color="auto"/>
        <w:right w:val="none" w:sz="0" w:space="0" w:color="auto"/>
      </w:divBdr>
    </w:div>
    <w:div w:id="276330458">
      <w:bodyDiv w:val="1"/>
      <w:marLeft w:val="0"/>
      <w:marRight w:val="0"/>
      <w:marTop w:val="0"/>
      <w:marBottom w:val="0"/>
      <w:divBdr>
        <w:top w:val="none" w:sz="0" w:space="0" w:color="auto"/>
        <w:left w:val="none" w:sz="0" w:space="0" w:color="auto"/>
        <w:bottom w:val="none" w:sz="0" w:space="0" w:color="auto"/>
        <w:right w:val="none" w:sz="0" w:space="0" w:color="auto"/>
      </w:divBdr>
    </w:div>
    <w:div w:id="712462152">
      <w:bodyDiv w:val="1"/>
      <w:marLeft w:val="0"/>
      <w:marRight w:val="0"/>
      <w:marTop w:val="0"/>
      <w:marBottom w:val="0"/>
      <w:divBdr>
        <w:top w:val="none" w:sz="0" w:space="0" w:color="auto"/>
        <w:left w:val="none" w:sz="0" w:space="0" w:color="auto"/>
        <w:bottom w:val="none" w:sz="0" w:space="0" w:color="auto"/>
        <w:right w:val="none" w:sz="0" w:space="0" w:color="auto"/>
      </w:divBdr>
      <w:divsChild>
        <w:div w:id="151262954">
          <w:marLeft w:val="144"/>
          <w:marRight w:val="0"/>
          <w:marTop w:val="240"/>
          <w:marBottom w:val="40"/>
          <w:divBdr>
            <w:top w:val="none" w:sz="0" w:space="0" w:color="auto"/>
            <w:left w:val="none" w:sz="0" w:space="0" w:color="auto"/>
            <w:bottom w:val="none" w:sz="0" w:space="0" w:color="auto"/>
            <w:right w:val="none" w:sz="0" w:space="0" w:color="auto"/>
          </w:divBdr>
        </w:div>
        <w:div w:id="661471029">
          <w:marLeft w:val="144"/>
          <w:marRight w:val="0"/>
          <w:marTop w:val="240"/>
          <w:marBottom w:val="40"/>
          <w:divBdr>
            <w:top w:val="none" w:sz="0" w:space="0" w:color="auto"/>
            <w:left w:val="none" w:sz="0" w:space="0" w:color="auto"/>
            <w:bottom w:val="none" w:sz="0" w:space="0" w:color="auto"/>
            <w:right w:val="none" w:sz="0" w:space="0" w:color="auto"/>
          </w:divBdr>
        </w:div>
        <w:div w:id="330378638">
          <w:marLeft w:val="144"/>
          <w:marRight w:val="0"/>
          <w:marTop w:val="240"/>
          <w:marBottom w:val="40"/>
          <w:divBdr>
            <w:top w:val="none" w:sz="0" w:space="0" w:color="auto"/>
            <w:left w:val="none" w:sz="0" w:space="0" w:color="auto"/>
            <w:bottom w:val="none" w:sz="0" w:space="0" w:color="auto"/>
            <w:right w:val="none" w:sz="0" w:space="0" w:color="auto"/>
          </w:divBdr>
        </w:div>
      </w:divsChild>
    </w:div>
    <w:div w:id="820999176">
      <w:bodyDiv w:val="1"/>
      <w:marLeft w:val="0"/>
      <w:marRight w:val="0"/>
      <w:marTop w:val="0"/>
      <w:marBottom w:val="0"/>
      <w:divBdr>
        <w:top w:val="none" w:sz="0" w:space="0" w:color="auto"/>
        <w:left w:val="none" w:sz="0" w:space="0" w:color="auto"/>
        <w:bottom w:val="none" w:sz="0" w:space="0" w:color="auto"/>
        <w:right w:val="none" w:sz="0" w:space="0" w:color="auto"/>
      </w:divBdr>
    </w:div>
    <w:div w:id="857543105">
      <w:bodyDiv w:val="1"/>
      <w:marLeft w:val="0"/>
      <w:marRight w:val="0"/>
      <w:marTop w:val="0"/>
      <w:marBottom w:val="0"/>
      <w:divBdr>
        <w:top w:val="none" w:sz="0" w:space="0" w:color="auto"/>
        <w:left w:val="none" w:sz="0" w:space="0" w:color="auto"/>
        <w:bottom w:val="none" w:sz="0" w:space="0" w:color="auto"/>
        <w:right w:val="none" w:sz="0" w:space="0" w:color="auto"/>
      </w:divBdr>
    </w:div>
    <w:div w:id="986860786">
      <w:bodyDiv w:val="1"/>
      <w:marLeft w:val="0"/>
      <w:marRight w:val="0"/>
      <w:marTop w:val="0"/>
      <w:marBottom w:val="0"/>
      <w:divBdr>
        <w:top w:val="none" w:sz="0" w:space="0" w:color="auto"/>
        <w:left w:val="none" w:sz="0" w:space="0" w:color="auto"/>
        <w:bottom w:val="none" w:sz="0" w:space="0" w:color="auto"/>
        <w:right w:val="none" w:sz="0" w:space="0" w:color="auto"/>
      </w:divBdr>
      <w:divsChild>
        <w:div w:id="1316449900">
          <w:marLeft w:val="144"/>
          <w:marRight w:val="0"/>
          <w:marTop w:val="240"/>
          <w:marBottom w:val="40"/>
          <w:divBdr>
            <w:top w:val="none" w:sz="0" w:space="0" w:color="auto"/>
            <w:left w:val="none" w:sz="0" w:space="0" w:color="auto"/>
            <w:bottom w:val="none" w:sz="0" w:space="0" w:color="auto"/>
            <w:right w:val="none" w:sz="0" w:space="0" w:color="auto"/>
          </w:divBdr>
        </w:div>
        <w:div w:id="708921786">
          <w:marLeft w:val="144"/>
          <w:marRight w:val="0"/>
          <w:marTop w:val="240"/>
          <w:marBottom w:val="40"/>
          <w:divBdr>
            <w:top w:val="none" w:sz="0" w:space="0" w:color="auto"/>
            <w:left w:val="none" w:sz="0" w:space="0" w:color="auto"/>
            <w:bottom w:val="none" w:sz="0" w:space="0" w:color="auto"/>
            <w:right w:val="none" w:sz="0" w:space="0" w:color="auto"/>
          </w:divBdr>
        </w:div>
        <w:div w:id="848904700">
          <w:marLeft w:val="144"/>
          <w:marRight w:val="0"/>
          <w:marTop w:val="240"/>
          <w:marBottom w:val="40"/>
          <w:divBdr>
            <w:top w:val="none" w:sz="0" w:space="0" w:color="auto"/>
            <w:left w:val="none" w:sz="0" w:space="0" w:color="auto"/>
            <w:bottom w:val="none" w:sz="0" w:space="0" w:color="auto"/>
            <w:right w:val="none" w:sz="0" w:space="0" w:color="auto"/>
          </w:divBdr>
        </w:div>
        <w:div w:id="240220076">
          <w:marLeft w:val="144"/>
          <w:marRight w:val="0"/>
          <w:marTop w:val="240"/>
          <w:marBottom w:val="40"/>
          <w:divBdr>
            <w:top w:val="none" w:sz="0" w:space="0" w:color="auto"/>
            <w:left w:val="none" w:sz="0" w:space="0" w:color="auto"/>
            <w:bottom w:val="none" w:sz="0" w:space="0" w:color="auto"/>
            <w:right w:val="none" w:sz="0" w:space="0" w:color="auto"/>
          </w:divBdr>
        </w:div>
      </w:divsChild>
    </w:div>
    <w:div w:id="1299191183">
      <w:bodyDiv w:val="1"/>
      <w:marLeft w:val="0"/>
      <w:marRight w:val="0"/>
      <w:marTop w:val="0"/>
      <w:marBottom w:val="0"/>
      <w:divBdr>
        <w:top w:val="none" w:sz="0" w:space="0" w:color="auto"/>
        <w:left w:val="none" w:sz="0" w:space="0" w:color="auto"/>
        <w:bottom w:val="none" w:sz="0" w:space="0" w:color="auto"/>
        <w:right w:val="none" w:sz="0" w:space="0" w:color="auto"/>
      </w:divBdr>
    </w:div>
    <w:div w:id="1314026552">
      <w:bodyDiv w:val="1"/>
      <w:marLeft w:val="0"/>
      <w:marRight w:val="0"/>
      <w:marTop w:val="0"/>
      <w:marBottom w:val="0"/>
      <w:divBdr>
        <w:top w:val="none" w:sz="0" w:space="0" w:color="auto"/>
        <w:left w:val="none" w:sz="0" w:space="0" w:color="auto"/>
        <w:bottom w:val="none" w:sz="0" w:space="0" w:color="auto"/>
        <w:right w:val="none" w:sz="0" w:space="0" w:color="auto"/>
      </w:divBdr>
      <w:divsChild>
        <w:div w:id="438717231">
          <w:marLeft w:val="144"/>
          <w:marRight w:val="0"/>
          <w:marTop w:val="240"/>
          <w:marBottom w:val="40"/>
          <w:divBdr>
            <w:top w:val="none" w:sz="0" w:space="0" w:color="auto"/>
            <w:left w:val="none" w:sz="0" w:space="0" w:color="auto"/>
            <w:bottom w:val="none" w:sz="0" w:space="0" w:color="auto"/>
            <w:right w:val="none" w:sz="0" w:space="0" w:color="auto"/>
          </w:divBdr>
        </w:div>
        <w:div w:id="530412558">
          <w:marLeft w:val="144"/>
          <w:marRight w:val="0"/>
          <w:marTop w:val="240"/>
          <w:marBottom w:val="40"/>
          <w:divBdr>
            <w:top w:val="none" w:sz="0" w:space="0" w:color="auto"/>
            <w:left w:val="none" w:sz="0" w:space="0" w:color="auto"/>
            <w:bottom w:val="none" w:sz="0" w:space="0" w:color="auto"/>
            <w:right w:val="none" w:sz="0" w:space="0" w:color="auto"/>
          </w:divBdr>
        </w:div>
        <w:div w:id="147944902">
          <w:marLeft w:val="144"/>
          <w:marRight w:val="0"/>
          <w:marTop w:val="240"/>
          <w:marBottom w:val="40"/>
          <w:divBdr>
            <w:top w:val="none" w:sz="0" w:space="0" w:color="auto"/>
            <w:left w:val="none" w:sz="0" w:space="0" w:color="auto"/>
            <w:bottom w:val="none" w:sz="0" w:space="0" w:color="auto"/>
            <w:right w:val="none" w:sz="0" w:space="0" w:color="auto"/>
          </w:divBdr>
        </w:div>
      </w:divsChild>
    </w:div>
    <w:div w:id="191446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38BC9-8C3E-4672-862C-92A9DB0E6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Salois</dc:creator>
  <cp:keywords/>
  <dc:description/>
  <cp:lastModifiedBy>Abigail Salois</cp:lastModifiedBy>
  <cp:revision>7</cp:revision>
  <dcterms:created xsi:type="dcterms:W3CDTF">2022-10-28T18:11:00Z</dcterms:created>
  <dcterms:modified xsi:type="dcterms:W3CDTF">2022-10-28T19:35:00Z</dcterms:modified>
</cp:coreProperties>
</file>