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2FA7" w14:textId="77777777" w:rsidR="00912E35" w:rsidRDefault="00912E35" w:rsidP="00EF496F">
      <w:pPr>
        <w:shd w:val="clear" w:color="auto" w:fill="FFFFFF"/>
        <w:spacing w:after="0" w:line="240" w:lineRule="auto"/>
        <w:jc w:val="center"/>
        <w:rPr>
          <w:rFonts w:ascii="Calibri" w:eastAsia="Times New Roman" w:hAnsi="Calibri" w:cs="Calibri"/>
          <w:color w:val="201F1E"/>
        </w:rPr>
      </w:pPr>
    </w:p>
    <w:p w14:paraId="1B8D0E27" w14:textId="77777777" w:rsidR="00912E35" w:rsidRDefault="00912E35" w:rsidP="00EF496F">
      <w:pPr>
        <w:shd w:val="clear" w:color="auto" w:fill="FFFFFF"/>
        <w:spacing w:after="0" w:line="240" w:lineRule="auto"/>
        <w:jc w:val="center"/>
        <w:rPr>
          <w:rFonts w:ascii="Calibri" w:eastAsia="Times New Roman" w:hAnsi="Calibri" w:cs="Calibri"/>
          <w:color w:val="201F1E"/>
        </w:rPr>
      </w:pPr>
    </w:p>
    <w:p w14:paraId="11499D88" w14:textId="502D13EA" w:rsidR="00912E35" w:rsidRDefault="00912E35" w:rsidP="00912E35">
      <w:pPr>
        <w:shd w:val="clear" w:color="auto" w:fill="FFFFFF"/>
        <w:spacing w:after="0" w:line="240" w:lineRule="auto"/>
        <w:rPr>
          <w:rFonts w:ascii="Calibri" w:eastAsia="Times New Roman" w:hAnsi="Calibri" w:cs="Calibri"/>
          <w:color w:val="201F1E"/>
        </w:rPr>
      </w:pPr>
    </w:p>
    <w:p w14:paraId="0EAD6D1E" w14:textId="77777777" w:rsidR="00571A81" w:rsidRDefault="00571A81" w:rsidP="00912E35">
      <w:pPr>
        <w:shd w:val="clear" w:color="auto" w:fill="FFFFFF"/>
        <w:spacing w:after="0" w:line="240" w:lineRule="auto"/>
        <w:jc w:val="center"/>
        <w:rPr>
          <w:rFonts w:ascii="Calibri" w:eastAsia="Times New Roman" w:hAnsi="Calibri" w:cs="Calibri"/>
          <w:b/>
          <w:color w:val="201F1E"/>
        </w:rPr>
      </w:pPr>
      <w:r>
        <w:rPr>
          <w:rFonts w:ascii="Calibri" w:eastAsia="Times New Roman" w:hAnsi="Calibri" w:cs="Calibri"/>
          <w:b/>
          <w:color w:val="201F1E"/>
        </w:rPr>
        <w:t>April 8</w:t>
      </w:r>
      <w:r w:rsidR="00912E35" w:rsidRPr="00912E35">
        <w:rPr>
          <w:rFonts w:ascii="Calibri" w:eastAsia="Times New Roman" w:hAnsi="Calibri" w:cs="Calibri"/>
          <w:b/>
          <w:color w:val="201F1E"/>
        </w:rPr>
        <w:t xml:space="preserve">, 2021 Update and New Practice Advisory on the </w:t>
      </w:r>
    </w:p>
    <w:p w14:paraId="22F5F8DB" w14:textId="2E3FD497" w:rsidR="00EF496F" w:rsidRPr="00912E35" w:rsidRDefault="00912E35" w:rsidP="00912E35">
      <w:pPr>
        <w:shd w:val="clear" w:color="auto" w:fill="FFFFFF"/>
        <w:spacing w:after="0" w:line="240" w:lineRule="auto"/>
        <w:jc w:val="center"/>
        <w:rPr>
          <w:rFonts w:ascii="Calibri" w:eastAsia="Times New Roman" w:hAnsi="Calibri" w:cs="Calibri"/>
          <w:b/>
          <w:color w:val="201F1E"/>
        </w:rPr>
      </w:pPr>
      <w:r w:rsidRPr="00912E35">
        <w:rPr>
          <w:rFonts w:ascii="Calibri" w:eastAsia="Times New Roman" w:hAnsi="Calibri" w:cs="Calibri"/>
          <w:b/>
          <w:color w:val="201F1E"/>
        </w:rPr>
        <w:t xml:space="preserve">Youth &amp; Young Adult Provisions of </w:t>
      </w:r>
      <w:r w:rsidR="00EF496F" w:rsidRPr="00912E35">
        <w:rPr>
          <w:rFonts w:ascii="Calibri" w:eastAsia="Times New Roman" w:hAnsi="Calibri" w:cs="Calibri"/>
          <w:b/>
          <w:color w:val="201F1E"/>
        </w:rPr>
        <w:t>the Consolidated Appropriations Act</w:t>
      </w:r>
    </w:p>
    <w:p w14:paraId="5158B7C8" w14:textId="77777777" w:rsidR="00EF496F" w:rsidRDefault="00EF496F" w:rsidP="00E448F2">
      <w:pPr>
        <w:shd w:val="clear" w:color="auto" w:fill="FFFFFF"/>
        <w:spacing w:after="0" w:line="240" w:lineRule="auto"/>
        <w:rPr>
          <w:rFonts w:ascii="Calibri" w:eastAsia="Times New Roman" w:hAnsi="Calibri" w:cs="Calibri"/>
          <w:color w:val="201F1E"/>
        </w:rPr>
      </w:pPr>
    </w:p>
    <w:p w14:paraId="538F65C5" w14:textId="2414FDBE" w:rsidR="00D337AC" w:rsidRDefault="000914F6" w:rsidP="002C3AE1">
      <w:pPr>
        <w:shd w:val="clear" w:color="auto" w:fill="FFFFFF"/>
        <w:spacing w:after="0" w:line="240" w:lineRule="auto"/>
      </w:pPr>
      <w:r>
        <w:t>On December 27, 2020, the Consolidated Appropriations Act, 2021, P.L. 116-260</w:t>
      </w:r>
      <w:r w:rsidR="00D337AC">
        <w:t xml:space="preserve"> (the “Act”)</w:t>
      </w:r>
      <w:r>
        <w:t>, was enacted into law.  It makes continuing appropriations for specified federal agencies and provides temporary flexibilities and assistance in response to the COVID-19 pandemic and public health emergency</w:t>
      </w:r>
      <w:r w:rsidR="00912E35">
        <w:t>.</w:t>
      </w:r>
      <w:r w:rsidR="001945B8">
        <w:t xml:space="preserve">  </w:t>
      </w:r>
    </w:p>
    <w:p w14:paraId="3F4028E8" w14:textId="77777777" w:rsidR="00D337AC" w:rsidRDefault="00D337AC" w:rsidP="002C3AE1">
      <w:pPr>
        <w:shd w:val="clear" w:color="auto" w:fill="FFFFFF"/>
        <w:spacing w:after="0" w:line="240" w:lineRule="auto"/>
      </w:pPr>
    </w:p>
    <w:p w14:paraId="026A9E74" w14:textId="77777777" w:rsidR="00571A81" w:rsidRDefault="00AE0A7B" w:rsidP="00EF496F">
      <w:pPr>
        <w:shd w:val="clear" w:color="auto" w:fill="FFFFFF"/>
        <w:spacing w:after="0" w:line="240" w:lineRule="auto"/>
      </w:pPr>
      <w:r w:rsidRPr="00912E35">
        <w:rPr>
          <w:b/>
          <w:i/>
        </w:rPr>
        <w:t>Why is this important to our practice</w:t>
      </w:r>
      <w:r w:rsidR="00FE0978" w:rsidRPr="00912E35">
        <w:rPr>
          <w:b/>
          <w:i/>
        </w:rPr>
        <w:t xml:space="preserve"> area</w:t>
      </w:r>
      <w:r w:rsidRPr="00912E35">
        <w:rPr>
          <w:b/>
          <w:i/>
        </w:rPr>
        <w:t>?</w:t>
      </w:r>
      <w:r>
        <w:t xml:space="preserve"> </w:t>
      </w:r>
      <w:r w:rsidR="004229E6">
        <w:t>Division X</w:t>
      </w:r>
      <w:r w:rsidR="00912E35">
        <w:t xml:space="preserve"> of the Act</w:t>
      </w:r>
      <w:r w:rsidR="004229E6">
        <w:t xml:space="preserve">, </w:t>
      </w:r>
      <w:r w:rsidR="001945B8">
        <w:t xml:space="preserve">entitled: </w:t>
      </w:r>
      <w:r w:rsidR="000914F6">
        <w:t>the “Supporting Foster Youth and Families through the Pandemic Act,” includes additional</w:t>
      </w:r>
      <w:r w:rsidR="0097051A">
        <w:t xml:space="preserve"> </w:t>
      </w:r>
      <w:r w:rsidR="000914F6">
        <w:t xml:space="preserve">funding </w:t>
      </w:r>
      <w:r w:rsidR="002C3AE1">
        <w:t>for</w:t>
      </w:r>
      <w:r w:rsidR="001945B8">
        <w:t xml:space="preserve"> s</w:t>
      </w:r>
      <w:r w:rsidR="000914F6">
        <w:t xml:space="preserve">everal programs authorized under titles IV-B and IV-E of the Act and requires </w:t>
      </w:r>
      <w:r w:rsidR="00912E35">
        <w:t xml:space="preserve">state child protection </w:t>
      </w:r>
      <w:r w:rsidR="000914F6">
        <w:t>agencies to take a number of actions to protect and support youth/young adults currently or formerly in foster care</w:t>
      </w:r>
      <w:r w:rsidR="00D84A11">
        <w:t xml:space="preserve"> during the pandemic</w:t>
      </w:r>
      <w:r w:rsidR="000914F6">
        <w:t xml:space="preserve">. </w:t>
      </w:r>
      <w:r w:rsidR="00D337AC">
        <w:t xml:space="preserve"> </w:t>
      </w:r>
      <w:r w:rsidR="00912E35">
        <w:t>The Act brings two major changes to the support DCF must provide current and former foster youth</w:t>
      </w:r>
      <w:r w:rsidR="00571A81">
        <w:t xml:space="preserve">.  First, it </w:t>
      </w:r>
      <w:r w:rsidR="00D84A11">
        <w:t xml:space="preserve">amends Title IV-E to </w:t>
      </w:r>
      <w:r w:rsidR="00912E35">
        <w:t xml:space="preserve">extend eligibility </w:t>
      </w:r>
      <w:r w:rsidR="00D84A11">
        <w:t>beyond age 2</w:t>
      </w:r>
      <w:r w:rsidR="0097051A">
        <w:t>1</w:t>
      </w:r>
      <w:r w:rsidR="00D84A11">
        <w:t xml:space="preserve"> </w:t>
      </w:r>
      <w:r w:rsidR="00912E35">
        <w:t>and waive</w:t>
      </w:r>
      <w:r w:rsidR="0097051A">
        <w:t>s</w:t>
      </w:r>
      <w:r w:rsidR="00912E35">
        <w:t xml:space="preserve"> the employment</w:t>
      </w:r>
      <w:r w:rsidR="00D84A11">
        <w:t>/</w:t>
      </w:r>
    </w:p>
    <w:p w14:paraId="5079F08A" w14:textId="77777777" w:rsidR="00571A81" w:rsidRDefault="00912E35" w:rsidP="00EF496F">
      <w:pPr>
        <w:shd w:val="clear" w:color="auto" w:fill="FFFFFF"/>
        <w:spacing w:after="0" w:line="240" w:lineRule="auto"/>
      </w:pPr>
      <w:r>
        <w:t>school requirements for young adults who sign back into DCF’s care after age 18</w:t>
      </w:r>
      <w:r w:rsidR="00571A81">
        <w:t xml:space="preserve">.  Second, the Act </w:t>
      </w:r>
      <w:r>
        <w:t xml:space="preserve">provides increased funding </w:t>
      </w:r>
      <w:r w:rsidR="00D84A11">
        <w:t>and expands eligibility for financial assistance and other services under the Chafee program to current and former foster youth and young adults up to age 27.</w:t>
      </w:r>
    </w:p>
    <w:p w14:paraId="37A50E21" w14:textId="77777777" w:rsidR="00571A81" w:rsidRDefault="00571A81" w:rsidP="00EF496F">
      <w:pPr>
        <w:shd w:val="clear" w:color="auto" w:fill="FFFFFF"/>
        <w:spacing w:after="0" w:line="240" w:lineRule="auto"/>
      </w:pPr>
    </w:p>
    <w:p w14:paraId="1B6E2D2B" w14:textId="521BCFD8" w:rsidR="00D337AC" w:rsidRDefault="0097051A" w:rsidP="00EF496F">
      <w:pPr>
        <w:shd w:val="clear" w:color="auto" w:fill="FFFFFF"/>
        <w:spacing w:after="0" w:line="240" w:lineRule="auto"/>
      </w:pPr>
      <w:bookmarkStart w:id="0" w:name="_GoBack"/>
      <w:bookmarkEnd w:id="0"/>
      <w:r>
        <w:t xml:space="preserve">Information about the law and our first practice advisory is available on our website at </w:t>
      </w:r>
      <w:hyperlink r:id="rId7" w:history="1">
        <w:r w:rsidRPr="006D081C">
          <w:rPr>
            <w:rStyle w:val="Hyperlink"/>
          </w:rPr>
          <w:t>https://www.publiccounsel.net/cafl/cafl-news/covid-19-news-and-resources/resources-for-youth-and-young-adults/</w:t>
        </w:r>
      </w:hyperlink>
      <w:r>
        <w:t xml:space="preserve">. </w:t>
      </w:r>
    </w:p>
    <w:p w14:paraId="6CC778C6" w14:textId="77777777" w:rsidR="00D337AC" w:rsidRDefault="00D337AC" w:rsidP="00EF496F">
      <w:pPr>
        <w:shd w:val="clear" w:color="auto" w:fill="FFFFFF"/>
        <w:spacing w:after="0" w:line="240" w:lineRule="auto"/>
      </w:pPr>
    </w:p>
    <w:p w14:paraId="09EEE2CA" w14:textId="25C91A74" w:rsidR="00D84A11" w:rsidRDefault="00D84A11" w:rsidP="00D337AC">
      <w:pPr>
        <w:shd w:val="clear" w:color="auto" w:fill="FFFFFF"/>
        <w:spacing w:after="0" w:line="240" w:lineRule="auto"/>
      </w:pPr>
      <w:r>
        <w:rPr>
          <w:b/>
          <w:i/>
        </w:rPr>
        <w:t xml:space="preserve">What’s New about this Law?  </w:t>
      </w:r>
      <w:r w:rsidR="00571A81">
        <w:t xml:space="preserve">Last </w:t>
      </w:r>
      <w:r w:rsidRPr="00D84A11">
        <w:t xml:space="preserve">month, the federal government issued a Program Instruction (PI) providing guidance to states on implementation of the new law.  The PI clarified that </w:t>
      </w:r>
      <w:r>
        <w:t xml:space="preserve">there is </w:t>
      </w:r>
      <w:r>
        <w:rPr>
          <w:b/>
          <w:u w:val="single"/>
        </w:rPr>
        <w:t>no upper age limit</w:t>
      </w:r>
      <w:r>
        <w:rPr>
          <w:b/>
        </w:rPr>
        <w:t xml:space="preserve"> </w:t>
      </w:r>
      <w:r>
        <w:t>on the law’s prohibition against discharging young adults from DCF care based on age.  This means that DCF must not discharge a young person because they’ve reached their 22</w:t>
      </w:r>
      <w:r w:rsidR="0097051A">
        <w:t>nd</w:t>
      </w:r>
      <w:r>
        <w:t xml:space="preserve"> birthday.</w:t>
      </w:r>
    </w:p>
    <w:p w14:paraId="4A0F37B8" w14:textId="77777777" w:rsidR="00D84A11" w:rsidRPr="00D84A11" w:rsidRDefault="00D84A11" w:rsidP="00D337AC">
      <w:pPr>
        <w:shd w:val="clear" w:color="auto" w:fill="FFFFFF"/>
        <w:spacing w:after="0" w:line="240" w:lineRule="auto"/>
      </w:pPr>
    </w:p>
    <w:p w14:paraId="3B713FF0" w14:textId="5BF610C9" w:rsidR="00340947" w:rsidRPr="0097051A" w:rsidRDefault="00D337AC" w:rsidP="00D337AC">
      <w:pPr>
        <w:shd w:val="clear" w:color="auto" w:fill="FFFFFF"/>
        <w:spacing w:after="0" w:line="240" w:lineRule="auto"/>
        <w:rPr>
          <w:b/>
        </w:rPr>
      </w:pPr>
      <w:r w:rsidRPr="0097051A">
        <w:rPr>
          <w:b/>
          <w:i/>
        </w:rPr>
        <w:t>Regarding Young Adults Turning 22</w:t>
      </w:r>
      <w:r w:rsidR="00340947" w:rsidRPr="0097051A">
        <w:rPr>
          <w:b/>
        </w:rPr>
        <w:t>:</w:t>
      </w:r>
    </w:p>
    <w:p w14:paraId="02AEA558" w14:textId="2C8F62FB" w:rsidR="00340947" w:rsidRDefault="00340947" w:rsidP="00571A81">
      <w:pPr>
        <w:pStyle w:val="ListParagraph"/>
        <w:numPr>
          <w:ilvl w:val="0"/>
          <w:numId w:val="2"/>
        </w:numPr>
        <w:shd w:val="clear" w:color="auto" w:fill="FFFFFF"/>
        <w:spacing w:after="0" w:line="240" w:lineRule="auto"/>
        <w:ind w:left="360"/>
        <w:rPr>
          <w:rFonts w:ascii="Calibri" w:eastAsia="Times New Roman" w:hAnsi="Calibri" w:cs="Calibri"/>
          <w:color w:val="201F1E"/>
        </w:rPr>
      </w:pPr>
      <w:r w:rsidRPr="00340947">
        <w:rPr>
          <w:rFonts w:ascii="Calibri" w:eastAsia="Times New Roman" w:hAnsi="Calibri" w:cs="Calibri"/>
          <w:color w:val="201F1E"/>
        </w:rPr>
        <w:t>O</w:t>
      </w:r>
      <w:r w:rsidR="00D85899" w:rsidRPr="00340947">
        <w:rPr>
          <w:rFonts w:ascii="Calibri" w:eastAsia="Times New Roman" w:hAnsi="Calibri" w:cs="Calibri"/>
          <w:color w:val="201F1E"/>
        </w:rPr>
        <w:t xml:space="preserve">ur </w:t>
      </w:r>
      <w:r w:rsidR="00D337AC" w:rsidRPr="00340947">
        <w:rPr>
          <w:rFonts w:ascii="Calibri" w:eastAsia="Times New Roman" w:hAnsi="Calibri" w:cs="Calibri"/>
          <w:color w:val="201F1E"/>
        </w:rPr>
        <w:t xml:space="preserve">current </w:t>
      </w:r>
      <w:r w:rsidR="00D85899" w:rsidRPr="00340947">
        <w:rPr>
          <w:rFonts w:ascii="Calibri" w:eastAsia="Times New Roman" w:hAnsi="Calibri" w:cs="Calibri"/>
          <w:color w:val="201F1E"/>
        </w:rPr>
        <w:t xml:space="preserve">MA </w:t>
      </w:r>
      <w:r w:rsidR="00EF496F" w:rsidRPr="00340947">
        <w:rPr>
          <w:rFonts w:ascii="Calibri" w:eastAsia="Times New Roman" w:hAnsi="Calibri" w:cs="Calibri"/>
          <w:color w:val="201F1E"/>
        </w:rPr>
        <w:t xml:space="preserve">statute requires DCF to continue to offer foster care placement to young adults up to age 22, a year past the </w:t>
      </w:r>
      <w:r w:rsidR="0097051A">
        <w:rPr>
          <w:rFonts w:ascii="Calibri" w:eastAsia="Times New Roman" w:hAnsi="Calibri" w:cs="Calibri"/>
          <w:color w:val="201F1E"/>
        </w:rPr>
        <w:t xml:space="preserve">original </w:t>
      </w:r>
      <w:r w:rsidR="00EF496F" w:rsidRPr="00340947">
        <w:rPr>
          <w:rFonts w:ascii="Calibri" w:eastAsia="Times New Roman" w:hAnsi="Calibri" w:cs="Calibri"/>
          <w:color w:val="201F1E"/>
        </w:rPr>
        <w:t>IV-E reimbursement period.  G.L. c. 119, sec. 23(f). </w:t>
      </w:r>
      <w:r w:rsidR="00D337AC" w:rsidRPr="00340947">
        <w:rPr>
          <w:rFonts w:ascii="Calibri" w:eastAsia="Times New Roman" w:hAnsi="Calibri" w:cs="Calibri"/>
          <w:color w:val="201F1E"/>
        </w:rPr>
        <w:t xml:space="preserve"> </w:t>
      </w:r>
    </w:p>
    <w:p w14:paraId="0109DB91" w14:textId="2254A289" w:rsidR="008D2CBE" w:rsidRPr="008D2CBE" w:rsidRDefault="00D337AC" w:rsidP="00571A81">
      <w:pPr>
        <w:pStyle w:val="ListParagraph"/>
        <w:numPr>
          <w:ilvl w:val="0"/>
          <w:numId w:val="2"/>
        </w:numPr>
        <w:shd w:val="clear" w:color="auto" w:fill="FFFFFF"/>
        <w:spacing w:after="0" w:line="240" w:lineRule="auto"/>
        <w:ind w:left="360"/>
        <w:rPr>
          <w:rFonts w:ascii="Calibri" w:eastAsia="Times New Roman" w:hAnsi="Calibri" w:cs="Calibri"/>
          <w:color w:val="201F1E"/>
        </w:rPr>
      </w:pPr>
      <w:r w:rsidRPr="008D2CBE">
        <w:rPr>
          <w:rFonts w:ascii="Calibri" w:eastAsia="Times New Roman" w:hAnsi="Calibri" w:cs="Calibri"/>
          <w:color w:val="201F1E"/>
        </w:rPr>
        <w:t xml:space="preserve">Under this new Act, </w:t>
      </w:r>
      <w:r w:rsidR="0097051A">
        <w:rPr>
          <w:rFonts w:ascii="Calibri" w:eastAsia="Times New Roman" w:hAnsi="Calibri" w:cs="Calibri"/>
          <w:color w:val="201F1E"/>
        </w:rPr>
        <w:t xml:space="preserve">DCF </w:t>
      </w:r>
      <w:r w:rsidR="009101AB">
        <w:rPr>
          <w:rFonts w:ascii="Calibri" w:eastAsia="Times New Roman" w:hAnsi="Calibri" w:cs="Calibri"/>
          <w:color w:val="000000"/>
        </w:rPr>
        <w:t>may not require a young adult</w:t>
      </w:r>
      <w:r w:rsidR="00EF496F" w:rsidRPr="008D2CBE">
        <w:rPr>
          <w:rFonts w:ascii="Calibri" w:eastAsia="Times New Roman" w:hAnsi="Calibri" w:cs="Calibri"/>
          <w:color w:val="000000"/>
        </w:rPr>
        <w:t xml:space="preserve"> to leave foster care solely due to age </w:t>
      </w:r>
      <w:r w:rsidR="006B6D27" w:rsidRPr="008D2CBE">
        <w:rPr>
          <w:rFonts w:ascii="Calibri" w:eastAsia="Times New Roman" w:hAnsi="Calibri" w:cs="Calibri"/>
          <w:color w:val="000000"/>
        </w:rPr>
        <w:t>(22)</w:t>
      </w:r>
      <w:r w:rsidR="00970CD0" w:rsidRPr="008D2CBE">
        <w:rPr>
          <w:rFonts w:ascii="Calibri" w:eastAsia="Times New Roman" w:hAnsi="Calibri" w:cs="Calibri"/>
          <w:color w:val="000000"/>
        </w:rPr>
        <w:t xml:space="preserve"> </w:t>
      </w:r>
      <w:r w:rsidR="00EF496F" w:rsidRPr="008D2CBE">
        <w:rPr>
          <w:rFonts w:ascii="Calibri" w:eastAsia="Times New Roman" w:hAnsi="Calibri" w:cs="Calibri"/>
          <w:color w:val="000000"/>
        </w:rPr>
        <w:t xml:space="preserve">from </w:t>
      </w:r>
      <w:r w:rsidR="00EF496F" w:rsidRPr="008D2CBE">
        <w:rPr>
          <w:rFonts w:ascii="Calibri" w:eastAsia="Times New Roman" w:hAnsi="Calibri" w:cs="Calibri"/>
          <w:b/>
          <w:color w:val="000000"/>
        </w:rPr>
        <w:t>December 27, 2020 throug</w:t>
      </w:r>
      <w:r w:rsidR="00340947" w:rsidRPr="008D2CBE">
        <w:rPr>
          <w:rFonts w:ascii="Calibri" w:eastAsia="Times New Roman" w:hAnsi="Calibri" w:cs="Calibri"/>
          <w:b/>
          <w:color w:val="000000"/>
        </w:rPr>
        <w:t>h September 30, 2021</w:t>
      </w:r>
      <w:r w:rsidR="00340947" w:rsidRPr="008D2CBE">
        <w:rPr>
          <w:rFonts w:ascii="Calibri" w:eastAsia="Times New Roman" w:hAnsi="Calibri" w:cs="Calibri"/>
          <w:color w:val="000000"/>
        </w:rPr>
        <w:t xml:space="preserve">. </w:t>
      </w:r>
      <w:r w:rsidR="00341F01">
        <w:t xml:space="preserve">See section 4(a) of Division X.  </w:t>
      </w:r>
      <w:r w:rsidR="00341F01">
        <w:rPr>
          <w:rFonts w:ascii="Calibri" w:eastAsia="Times New Roman" w:hAnsi="Calibri" w:cs="Calibri"/>
          <w:color w:val="000000"/>
        </w:rPr>
        <w:t xml:space="preserve">Nor may it determine a young adult ineligible for title IV-E foster care maintenance payments due to age or failure to meet the education/employment conditions during this time period.  </w:t>
      </w:r>
    </w:p>
    <w:p w14:paraId="7238FECD" w14:textId="7EB89AA2" w:rsidR="00706495" w:rsidRPr="00706495" w:rsidRDefault="00970CD0" w:rsidP="00571A81">
      <w:pPr>
        <w:pStyle w:val="ListParagraph"/>
        <w:numPr>
          <w:ilvl w:val="0"/>
          <w:numId w:val="2"/>
        </w:numPr>
        <w:shd w:val="clear" w:color="auto" w:fill="FFFFFF"/>
        <w:spacing w:after="0" w:line="240" w:lineRule="auto"/>
        <w:ind w:left="360"/>
        <w:rPr>
          <w:rFonts w:ascii="Calibri" w:eastAsia="Times New Roman" w:hAnsi="Calibri" w:cs="Calibri"/>
          <w:color w:val="201F1E"/>
        </w:rPr>
      </w:pPr>
      <w:r>
        <w:t>Further, until September 30, 2021, DCF must allow</w:t>
      </w:r>
      <w:r w:rsidR="00F21D79">
        <w:t xml:space="preserve"> for</w:t>
      </w:r>
      <w:r>
        <w:t xml:space="preserve"> </w:t>
      </w:r>
      <w:r w:rsidR="00F21D79">
        <w:t xml:space="preserve">voluntary </w:t>
      </w:r>
      <w:r>
        <w:t xml:space="preserve">re-entry to any young adult who exited care due to age between </w:t>
      </w:r>
      <w:r w:rsidRPr="00706495">
        <w:rPr>
          <w:b/>
        </w:rPr>
        <w:t xml:space="preserve">January 27, 2020 and </w:t>
      </w:r>
      <w:r w:rsidR="00252715" w:rsidRPr="00706495">
        <w:rPr>
          <w:b/>
        </w:rPr>
        <w:t>April 20</w:t>
      </w:r>
      <w:r w:rsidRPr="00706495">
        <w:rPr>
          <w:b/>
        </w:rPr>
        <w:t>, 2021</w:t>
      </w:r>
      <w:r>
        <w:t xml:space="preserve">. </w:t>
      </w:r>
      <w:r w:rsidR="00662E6D">
        <w:t>S</w:t>
      </w:r>
      <w:r w:rsidR="00F21D79">
        <w:t xml:space="preserve">ee section 4(b) of Division X.  </w:t>
      </w:r>
      <w:r w:rsidR="00F21F5F">
        <w:t>(</w:t>
      </w:r>
      <w:r w:rsidR="008D2CBE">
        <w:t>This April date may be extended if the federal public health emergency designation is extended beyond that date.</w:t>
      </w:r>
      <w:r w:rsidR="00F21F5F">
        <w:t>)</w:t>
      </w:r>
      <w:r w:rsidR="008D2CBE">
        <w:t xml:space="preserve"> </w:t>
      </w:r>
      <w:r w:rsidR="00341F01">
        <w:t xml:space="preserve">DCF may not find a young adult who re-enters foster care during the COVID-19 public health emergency period (defined as April 1, </w:t>
      </w:r>
      <w:r w:rsidR="0097051A">
        <w:t>2020 through September 30, 2021</w:t>
      </w:r>
      <w:r w:rsidR="00341F01">
        <w:t>) ineligible for title IV-E foster care maintenance payments solely due to age or the education/employment conditions before October 1, 2021.  See section 4(d)(2)(D) of Division X.</w:t>
      </w:r>
      <w:r w:rsidR="00706495">
        <w:t xml:space="preserve">  DCF must provide notice to the young adult of the</w:t>
      </w:r>
      <w:r w:rsidR="00436867">
        <w:t xml:space="preserve"> option to re-enter and facilitate such re-entry.  See section 4(b)(2 &amp; 3) of Division X.</w:t>
      </w:r>
    </w:p>
    <w:p w14:paraId="63D2CDF9" w14:textId="653FE38E" w:rsidR="00262DA9" w:rsidRPr="009E1B0C" w:rsidRDefault="00340947" w:rsidP="00571A81">
      <w:pPr>
        <w:pStyle w:val="ListParagraph"/>
        <w:numPr>
          <w:ilvl w:val="0"/>
          <w:numId w:val="4"/>
        </w:numPr>
        <w:shd w:val="clear" w:color="auto" w:fill="FFFFFF"/>
        <w:spacing w:after="0" w:line="240" w:lineRule="auto"/>
        <w:ind w:left="360"/>
        <w:rPr>
          <w:rFonts w:ascii="Calibri" w:eastAsia="Times New Roman" w:hAnsi="Calibri" w:cs="Calibri"/>
          <w:color w:val="201F1E"/>
        </w:rPr>
      </w:pPr>
      <w:r w:rsidRPr="00262DA9">
        <w:rPr>
          <w:rFonts w:ascii="Calibri" w:eastAsia="Times New Roman" w:hAnsi="Calibri" w:cs="Calibri"/>
          <w:b/>
          <w:color w:val="000000"/>
          <w:u w:val="single"/>
        </w:rPr>
        <w:t>T</w:t>
      </w:r>
      <w:r w:rsidR="00EF496F" w:rsidRPr="00262DA9">
        <w:rPr>
          <w:rFonts w:ascii="Calibri" w:eastAsia="Times New Roman" w:hAnsi="Calibri" w:cs="Calibri"/>
          <w:b/>
          <w:color w:val="000000"/>
          <w:u w:val="single"/>
        </w:rPr>
        <w:t>here is no upper age limit</w:t>
      </w:r>
      <w:r w:rsidR="00EF496F" w:rsidRPr="00262DA9">
        <w:rPr>
          <w:rFonts w:ascii="Calibri" w:eastAsia="Times New Roman" w:hAnsi="Calibri" w:cs="Calibri"/>
          <w:color w:val="000000"/>
        </w:rPr>
        <w:t xml:space="preserve"> on remaining in foster care or re-entering foster care under these provisions</w:t>
      </w:r>
      <w:r w:rsidR="00D5495E" w:rsidRPr="00262DA9">
        <w:rPr>
          <w:rFonts w:ascii="Calibri" w:eastAsia="Times New Roman" w:hAnsi="Calibri" w:cs="Calibri"/>
          <w:color w:val="000000"/>
        </w:rPr>
        <w:t xml:space="preserve">, which </w:t>
      </w:r>
      <w:r w:rsidR="009A3AFC" w:rsidRPr="00262DA9">
        <w:rPr>
          <w:rFonts w:ascii="Calibri" w:eastAsia="Times New Roman" w:hAnsi="Calibri" w:cs="Calibri"/>
          <w:color w:val="000000"/>
        </w:rPr>
        <w:t>means DCF may be required to allow a youth age 22</w:t>
      </w:r>
      <w:r w:rsidR="00EF496F" w:rsidRPr="00262DA9">
        <w:rPr>
          <w:rFonts w:ascii="Calibri" w:eastAsia="Times New Roman" w:hAnsi="Calibri" w:cs="Calibri"/>
          <w:color w:val="000000"/>
        </w:rPr>
        <w:t xml:space="preserve"> or older to remain in o</w:t>
      </w:r>
      <w:r w:rsidR="00D337AC" w:rsidRPr="00262DA9">
        <w:rPr>
          <w:rFonts w:ascii="Calibri" w:eastAsia="Times New Roman" w:hAnsi="Calibri" w:cs="Calibri"/>
          <w:color w:val="000000"/>
        </w:rPr>
        <w:t>r re-</w:t>
      </w:r>
      <w:r w:rsidR="00D337AC" w:rsidRPr="00262DA9">
        <w:rPr>
          <w:rFonts w:ascii="Calibri" w:eastAsia="Times New Roman" w:hAnsi="Calibri" w:cs="Calibri"/>
          <w:color w:val="000000"/>
        </w:rPr>
        <w:lastRenderedPageBreak/>
        <w:t xml:space="preserve">enter foster care </w:t>
      </w:r>
      <w:r w:rsidR="0019750E" w:rsidRPr="00262DA9">
        <w:rPr>
          <w:rFonts w:ascii="Calibri" w:eastAsia="Times New Roman" w:hAnsi="Calibri" w:cs="Calibri"/>
          <w:color w:val="000000"/>
        </w:rPr>
        <w:t>through September 30, 2021</w:t>
      </w:r>
      <w:r w:rsidR="00D337AC" w:rsidRPr="00262DA9">
        <w:rPr>
          <w:rFonts w:ascii="Calibri" w:eastAsia="Times New Roman" w:hAnsi="Calibri" w:cs="Calibri"/>
          <w:color w:val="000000"/>
        </w:rPr>
        <w:t xml:space="preserve">. </w:t>
      </w:r>
      <w:r w:rsidR="00C82AF9">
        <w:t xml:space="preserve"> </w:t>
      </w:r>
      <w:r w:rsidR="00F21F5F">
        <w:t>There is no upper age limit for title IV-E foster care maintenan</w:t>
      </w:r>
      <w:r w:rsidR="00A276B2">
        <w:t>ce payments</w:t>
      </w:r>
      <w:r w:rsidR="00F21F5F">
        <w:t>.</w:t>
      </w:r>
      <w:r w:rsidR="0097051A">
        <w:t xml:space="preserve">  See </w:t>
      </w:r>
      <w:hyperlink r:id="rId8" w:history="1">
        <w:r w:rsidR="00262DA9" w:rsidRPr="00262DA9">
          <w:rPr>
            <w:rStyle w:val="Hyperlink"/>
          </w:rPr>
          <w:t>US Children’s Bureau Program Instruction ACYF-CB-PI-21</w:t>
        </w:r>
        <w:r w:rsidR="000326C0">
          <w:rPr>
            <w:rStyle w:val="Hyperlink"/>
          </w:rPr>
          <w:t>-</w:t>
        </w:r>
        <w:r w:rsidR="00262DA9" w:rsidRPr="00262DA9">
          <w:rPr>
            <w:rStyle w:val="Hyperlink"/>
          </w:rPr>
          <w:t>04 issued on March 9, 2021.</w:t>
        </w:r>
      </w:hyperlink>
      <w:r w:rsidR="00262DA9">
        <w:t xml:space="preserve"> </w:t>
      </w:r>
    </w:p>
    <w:p w14:paraId="381173EB" w14:textId="262490C6" w:rsidR="00A11EE7" w:rsidRPr="00262DA9" w:rsidRDefault="00DB3AB6" w:rsidP="00571A81">
      <w:pPr>
        <w:pStyle w:val="ListParagraph"/>
        <w:numPr>
          <w:ilvl w:val="0"/>
          <w:numId w:val="2"/>
        </w:numPr>
        <w:shd w:val="clear" w:color="auto" w:fill="FFFFFF"/>
        <w:spacing w:after="0" w:line="240" w:lineRule="auto"/>
        <w:ind w:left="360"/>
        <w:rPr>
          <w:rFonts w:ascii="Calibri" w:eastAsia="Times New Roman" w:hAnsi="Calibri" w:cs="Calibri"/>
          <w:color w:val="201F1E"/>
        </w:rPr>
      </w:pPr>
      <w:r w:rsidRPr="00262DA9">
        <w:rPr>
          <w:rFonts w:ascii="Calibri" w:eastAsia="Times New Roman" w:hAnsi="Calibri" w:cs="Calibri"/>
          <w:color w:val="000000"/>
          <w:bdr w:val="none" w:sz="0" w:space="0" w:color="auto" w:frame="1"/>
        </w:rPr>
        <w:t>DCF</w:t>
      </w:r>
      <w:r w:rsidRPr="00262DA9">
        <w:rPr>
          <w:color w:val="000000"/>
        </w:rPr>
        <w:t xml:space="preserve"> must make reasonable efforts to determine IV-E eligibility for these young adults.  Further, it </w:t>
      </w:r>
      <w:r w:rsidR="00602C4B" w:rsidRPr="00262DA9">
        <w:rPr>
          <w:rFonts w:ascii="Calibri" w:eastAsia="Times New Roman" w:hAnsi="Calibri" w:cs="Calibri"/>
          <w:color w:val="000000"/>
          <w:bdr w:val="none" w:sz="0" w:space="0" w:color="auto" w:frame="1"/>
        </w:rPr>
        <w:t xml:space="preserve">must </w:t>
      </w:r>
      <w:r w:rsidR="00602C4B">
        <w:t>continue to ensure</w:t>
      </w:r>
      <w:r w:rsidR="00F21F5F">
        <w:t xml:space="preserve"> that the safety, permanence, an</w:t>
      </w:r>
      <w:r w:rsidR="00602C4B">
        <w:t xml:space="preserve">d well-being </w:t>
      </w:r>
      <w:r w:rsidR="00602C4B" w:rsidRPr="00262DA9">
        <w:rPr>
          <w:b/>
        </w:rPr>
        <w:t>needs</w:t>
      </w:r>
      <w:r w:rsidR="00602C4B">
        <w:t xml:space="preserve"> of older foster youth, including youth who remain in or re-enter foster care, are </w:t>
      </w:r>
      <w:r w:rsidR="00602C4B" w:rsidRPr="00262DA9">
        <w:rPr>
          <w:b/>
        </w:rPr>
        <w:t>met</w:t>
      </w:r>
      <w:r w:rsidR="00602C4B">
        <w:t xml:space="preserve">.  DCF must continue to develop, review, and revise </w:t>
      </w:r>
      <w:r w:rsidR="00602C4B" w:rsidRPr="00262DA9">
        <w:rPr>
          <w:b/>
        </w:rPr>
        <w:t>transition plans</w:t>
      </w:r>
      <w:r w:rsidR="00E7377F">
        <w:t xml:space="preserve"> and </w:t>
      </w:r>
      <w:r w:rsidR="00602C4B">
        <w:t xml:space="preserve">continue to assist the youth with identifying adults who can offer meaningful, </w:t>
      </w:r>
      <w:r w:rsidR="00602C4B" w:rsidRPr="00262DA9">
        <w:rPr>
          <w:b/>
        </w:rPr>
        <w:t>permanent connections</w:t>
      </w:r>
      <w:r w:rsidR="00602C4B">
        <w:t xml:space="preserve">. </w:t>
      </w:r>
      <w:r w:rsidR="00662E6D">
        <w:t>See section 4(c) of Division X.</w:t>
      </w:r>
      <w:r w:rsidR="00602C4B">
        <w:t xml:space="preserve"> </w:t>
      </w:r>
      <w:r w:rsidR="00E7377F">
        <w:t xml:space="preserve"> </w:t>
      </w:r>
    </w:p>
    <w:p w14:paraId="1098C974" w14:textId="77777777" w:rsidR="00FF685D" w:rsidRPr="00DB3AB6" w:rsidRDefault="00FF685D" w:rsidP="00571A81">
      <w:pPr>
        <w:pStyle w:val="ListParagraph"/>
        <w:numPr>
          <w:ilvl w:val="0"/>
          <w:numId w:val="2"/>
        </w:numPr>
        <w:shd w:val="clear" w:color="auto" w:fill="FFFFFF"/>
        <w:spacing w:after="0" w:line="240" w:lineRule="auto"/>
        <w:ind w:left="360"/>
        <w:rPr>
          <w:rFonts w:ascii="Calibri" w:eastAsia="Times New Roman" w:hAnsi="Calibri" w:cs="Calibri"/>
          <w:color w:val="201F1E"/>
        </w:rPr>
      </w:pPr>
      <w:r>
        <w:t xml:space="preserve">The case review requirements </w:t>
      </w:r>
      <w:r w:rsidR="00B6126B">
        <w:t xml:space="preserve">of </w:t>
      </w:r>
      <w:r>
        <w:t>the Act (which are defined further at section 475(5)</w:t>
      </w:r>
      <w:r w:rsidR="005471C1">
        <w:t>)</w:t>
      </w:r>
      <w:r>
        <w:t xml:space="preserve"> apply to those children age 18 or older on whose behalf a title IV-E foster care maintenance payment is made. Therefore, DCF must ensure that it is meeting the case plan, periodic review, and permanency hearing requirements for these young adults.</w:t>
      </w:r>
    </w:p>
    <w:p w14:paraId="50751AC4" w14:textId="55EC7897" w:rsidR="0037346A" w:rsidRPr="0037346A" w:rsidRDefault="0037346A" w:rsidP="00571A81">
      <w:pPr>
        <w:pStyle w:val="ListParagraph"/>
        <w:shd w:val="clear" w:color="auto" w:fill="FFFFFF"/>
        <w:spacing w:after="0" w:line="240" w:lineRule="auto"/>
        <w:ind w:left="360"/>
        <w:rPr>
          <w:rFonts w:ascii="Calibri" w:eastAsia="Times New Roman" w:hAnsi="Calibri" w:cs="Calibri"/>
          <w:color w:val="201F1E"/>
        </w:rPr>
      </w:pPr>
    </w:p>
    <w:p w14:paraId="3790B0D0" w14:textId="77777777" w:rsidR="00A11EE7" w:rsidRPr="00340947" w:rsidRDefault="00A11EE7" w:rsidP="00A11EE7">
      <w:pPr>
        <w:pStyle w:val="ListParagraph"/>
        <w:shd w:val="clear" w:color="auto" w:fill="FFFFFF"/>
        <w:spacing w:after="0" w:line="240" w:lineRule="auto"/>
        <w:rPr>
          <w:rFonts w:ascii="Calibri" w:eastAsia="Times New Roman" w:hAnsi="Calibri" w:cs="Calibri"/>
          <w:color w:val="201F1E"/>
        </w:rPr>
      </w:pPr>
    </w:p>
    <w:p w14:paraId="59A7A55A" w14:textId="20BD07A3" w:rsidR="0097051A" w:rsidRDefault="006B6D27" w:rsidP="0097051A">
      <w:pPr>
        <w:spacing w:after="0" w:line="240" w:lineRule="auto"/>
        <w:rPr>
          <w:rFonts w:ascii="Calibri" w:eastAsia="Times New Roman" w:hAnsi="Calibri" w:cs="Calibri"/>
          <w:color w:val="201F1E"/>
        </w:rPr>
      </w:pPr>
      <w:r w:rsidRPr="000A0E27">
        <w:rPr>
          <w:rFonts w:ascii="Calibri" w:eastAsia="Times New Roman" w:hAnsi="Calibri" w:cs="Calibri"/>
          <w:b/>
          <w:i/>
          <w:color w:val="201F1E"/>
        </w:rPr>
        <w:t xml:space="preserve">Practice </w:t>
      </w:r>
      <w:r w:rsidR="0097051A">
        <w:rPr>
          <w:rFonts w:ascii="Calibri" w:eastAsia="Times New Roman" w:hAnsi="Calibri" w:cs="Calibri"/>
          <w:b/>
          <w:i/>
          <w:color w:val="201F1E"/>
        </w:rPr>
        <w:t>Tips for Representing Young Adults</w:t>
      </w:r>
      <w:r>
        <w:rPr>
          <w:rFonts w:ascii="Calibri" w:eastAsia="Times New Roman" w:hAnsi="Calibri" w:cs="Calibri"/>
          <w:color w:val="201F1E"/>
        </w:rPr>
        <w:t xml:space="preserve">: </w:t>
      </w:r>
      <w:r w:rsidR="00D5495E">
        <w:rPr>
          <w:rFonts w:ascii="Calibri" w:eastAsia="Times New Roman" w:hAnsi="Calibri" w:cs="Calibri"/>
          <w:color w:val="201F1E"/>
        </w:rPr>
        <w:t xml:space="preserve"> </w:t>
      </w:r>
    </w:p>
    <w:p w14:paraId="214CBFEB" w14:textId="77777777" w:rsidR="0097051A" w:rsidRDefault="0097051A" w:rsidP="0097051A">
      <w:pPr>
        <w:spacing w:after="0" w:line="240" w:lineRule="auto"/>
        <w:rPr>
          <w:rFonts w:ascii="Calibri" w:eastAsia="Times New Roman" w:hAnsi="Calibri" w:cs="Calibri"/>
          <w:color w:val="201F1E"/>
        </w:rPr>
      </w:pPr>
    </w:p>
    <w:p w14:paraId="429ACD94" w14:textId="77777777" w:rsidR="0097051A" w:rsidRDefault="00D5495E" w:rsidP="0097051A">
      <w:pPr>
        <w:spacing w:after="0" w:line="240" w:lineRule="auto"/>
        <w:rPr>
          <w:rFonts w:ascii="Calibri" w:eastAsia="Times New Roman" w:hAnsi="Calibri" w:cs="Calibri"/>
          <w:color w:val="201F1E"/>
        </w:rPr>
      </w:pPr>
      <w:r>
        <w:rPr>
          <w:rFonts w:ascii="Calibri" w:eastAsia="Times New Roman" w:hAnsi="Calibri" w:cs="Calibri"/>
          <w:color w:val="201F1E"/>
        </w:rPr>
        <w:t>Although DCF has an obligation to provide notice, i</w:t>
      </w:r>
      <w:r w:rsidR="006B6D27">
        <w:rPr>
          <w:rFonts w:ascii="Calibri" w:eastAsia="Times New Roman" w:hAnsi="Calibri" w:cs="Calibri"/>
          <w:color w:val="201F1E"/>
        </w:rPr>
        <w:t xml:space="preserve">f you have a client who aged </w:t>
      </w:r>
      <w:r w:rsidR="00BB1E79">
        <w:rPr>
          <w:rFonts w:ascii="Calibri" w:eastAsia="Times New Roman" w:hAnsi="Calibri" w:cs="Calibri"/>
          <w:color w:val="201F1E"/>
        </w:rPr>
        <w:t xml:space="preserve">out </w:t>
      </w:r>
      <w:r>
        <w:rPr>
          <w:rFonts w:ascii="Calibri" w:eastAsia="Times New Roman" w:hAnsi="Calibri" w:cs="Calibri"/>
          <w:color w:val="201F1E"/>
        </w:rPr>
        <w:t>of care</w:t>
      </w:r>
      <w:r w:rsidR="00B6126B">
        <w:rPr>
          <w:rFonts w:ascii="Calibri" w:eastAsia="Times New Roman" w:hAnsi="Calibri" w:cs="Calibri"/>
          <w:color w:val="201F1E"/>
        </w:rPr>
        <w:t xml:space="preserve"> (turned 22)</w:t>
      </w:r>
      <w:r>
        <w:rPr>
          <w:rFonts w:ascii="Calibri" w:eastAsia="Times New Roman" w:hAnsi="Calibri" w:cs="Calibri"/>
          <w:color w:val="201F1E"/>
        </w:rPr>
        <w:t xml:space="preserve"> between January 27, 2020 and April 20, 2021, or who will age out of care</w:t>
      </w:r>
      <w:r w:rsidR="00B6126B">
        <w:rPr>
          <w:rFonts w:ascii="Calibri" w:eastAsia="Times New Roman" w:hAnsi="Calibri" w:cs="Calibri"/>
          <w:color w:val="201F1E"/>
        </w:rPr>
        <w:t xml:space="preserve"> (turn 22)</w:t>
      </w:r>
      <w:r>
        <w:rPr>
          <w:rFonts w:ascii="Calibri" w:eastAsia="Times New Roman" w:hAnsi="Calibri" w:cs="Calibri"/>
          <w:color w:val="201F1E"/>
        </w:rPr>
        <w:t xml:space="preserve"> before September 30, 2021, y</w:t>
      </w:r>
      <w:r w:rsidR="006B6D27">
        <w:rPr>
          <w:rFonts w:ascii="Calibri" w:eastAsia="Times New Roman" w:hAnsi="Calibri" w:cs="Calibri"/>
          <w:color w:val="201F1E"/>
        </w:rPr>
        <w:t xml:space="preserve">ou should reach out to that client and inquire into whether or not they wish to </w:t>
      </w:r>
      <w:r>
        <w:rPr>
          <w:rFonts w:ascii="Calibri" w:eastAsia="Times New Roman" w:hAnsi="Calibri" w:cs="Calibri"/>
          <w:color w:val="201F1E"/>
        </w:rPr>
        <w:t>remain in/</w:t>
      </w:r>
      <w:r w:rsidR="006B6D27">
        <w:rPr>
          <w:rFonts w:ascii="Calibri" w:eastAsia="Times New Roman" w:hAnsi="Calibri" w:cs="Calibri"/>
          <w:color w:val="201F1E"/>
        </w:rPr>
        <w:t xml:space="preserve">re-enter the </w:t>
      </w:r>
      <w:r w:rsidR="009E1B0C">
        <w:rPr>
          <w:rFonts w:ascii="Calibri" w:eastAsia="Times New Roman" w:hAnsi="Calibri" w:cs="Calibri"/>
          <w:color w:val="201F1E"/>
        </w:rPr>
        <w:t xml:space="preserve">foster care </w:t>
      </w:r>
      <w:r w:rsidR="006B6D27">
        <w:rPr>
          <w:rFonts w:ascii="Calibri" w:eastAsia="Times New Roman" w:hAnsi="Calibri" w:cs="Calibri"/>
          <w:color w:val="201F1E"/>
        </w:rPr>
        <w:t>system</w:t>
      </w:r>
      <w:r w:rsidR="000A0E27">
        <w:rPr>
          <w:rFonts w:ascii="Calibri" w:eastAsia="Times New Roman" w:hAnsi="Calibri" w:cs="Calibri"/>
          <w:color w:val="201F1E"/>
        </w:rPr>
        <w:t>, even if it is</w:t>
      </w:r>
      <w:r w:rsidR="006B6D27">
        <w:rPr>
          <w:rFonts w:ascii="Calibri" w:eastAsia="Times New Roman" w:hAnsi="Calibri" w:cs="Calibri"/>
          <w:color w:val="201F1E"/>
        </w:rPr>
        <w:t xml:space="preserve"> beyond their 22</w:t>
      </w:r>
      <w:r w:rsidR="006B6D27" w:rsidRPr="006B6D27">
        <w:rPr>
          <w:rFonts w:ascii="Calibri" w:eastAsia="Times New Roman" w:hAnsi="Calibri" w:cs="Calibri"/>
          <w:color w:val="201F1E"/>
          <w:vertAlign w:val="superscript"/>
        </w:rPr>
        <w:t>nd</w:t>
      </w:r>
      <w:r w:rsidR="006B6D27">
        <w:rPr>
          <w:rFonts w:ascii="Calibri" w:eastAsia="Times New Roman" w:hAnsi="Calibri" w:cs="Calibri"/>
          <w:color w:val="201F1E"/>
        </w:rPr>
        <w:t xml:space="preserve"> birthday.  </w:t>
      </w:r>
      <w:r>
        <w:rPr>
          <w:rFonts w:ascii="Calibri" w:eastAsia="Times New Roman" w:hAnsi="Calibri" w:cs="Calibri"/>
          <w:color w:val="201F1E"/>
        </w:rPr>
        <w:t>You should also reach out to the adolescent unit in charge of the case because it’s highly likely they may not be aware of the provisions of this Act</w:t>
      </w:r>
      <w:r w:rsidRPr="00262DA9">
        <w:t xml:space="preserve">.  </w:t>
      </w:r>
      <w:r w:rsidR="00042384" w:rsidRPr="00262DA9">
        <w:t xml:space="preserve">If </w:t>
      </w:r>
      <w:r w:rsidR="00C86228" w:rsidRPr="00262DA9">
        <w:t xml:space="preserve">you have a client who was discharged or is being discharged due to </w:t>
      </w:r>
      <w:r w:rsidR="00185996" w:rsidRPr="00262DA9">
        <w:t>being unable to meet the work/school requirements due to the pandemic</w:t>
      </w:r>
      <w:r w:rsidR="00BF37AB" w:rsidRPr="00262DA9">
        <w:t xml:space="preserve">, you should speak to your client </w:t>
      </w:r>
      <w:r w:rsidR="006B78E3" w:rsidRPr="00262DA9">
        <w:t xml:space="preserve">and DCF </w:t>
      </w:r>
      <w:r w:rsidR="00BF37AB" w:rsidRPr="00262DA9">
        <w:t>about their right to stay/return</w:t>
      </w:r>
      <w:r w:rsidR="006B78E3" w:rsidRPr="00262DA9">
        <w:t>.</w:t>
      </w:r>
      <w:r w:rsidR="006B78E3" w:rsidRPr="00262DA9">
        <w:rPr>
          <w:rFonts w:ascii="Calibri" w:eastAsia="Times New Roman"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37AB" w:rsidRPr="00262DA9">
        <w:rPr>
          <w:rFonts w:ascii="Calibri" w:eastAsia="Times New Roman"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libri" w:eastAsia="Times New Roman" w:hAnsi="Calibri" w:cs="Calibri"/>
          <w:color w:val="201F1E"/>
        </w:rPr>
        <w:t xml:space="preserve">Every effort should then be made to maintain/resume applicable </w:t>
      </w:r>
      <w:r w:rsidR="0046331A">
        <w:rPr>
          <w:rFonts w:ascii="Calibri" w:eastAsia="Times New Roman" w:hAnsi="Calibri" w:cs="Calibri"/>
          <w:color w:val="201F1E"/>
        </w:rPr>
        <w:t xml:space="preserve">foster care </w:t>
      </w:r>
      <w:r>
        <w:rPr>
          <w:rFonts w:ascii="Calibri" w:eastAsia="Times New Roman" w:hAnsi="Calibri" w:cs="Calibri"/>
          <w:color w:val="201F1E"/>
        </w:rPr>
        <w:t>payments/services</w:t>
      </w:r>
      <w:r w:rsidR="009E1B0C">
        <w:rPr>
          <w:rFonts w:ascii="Calibri" w:eastAsia="Times New Roman" w:hAnsi="Calibri" w:cs="Calibri"/>
          <w:color w:val="201F1E"/>
        </w:rPr>
        <w:t>/reviews</w:t>
      </w:r>
      <w:r>
        <w:rPr>
          <w:rFonts w:ascii="Calibri" w:eastAsia="Times New Roman" w:hAnsi="Calibri" w:cs="Calibri"/>
          <w:color w:val="201F1E"/>
        </w:rPr>
        <w:t xml:space="preserve"> for the young adult</w:t>
      </w:r>
      <w:r w:rsidR="0046331A">
        <w:rPr>
          <w:rFonts w:ascii="Calibri" w:eastAsia="Times New Roman" w:hAnsi="Calibri" w:cs="Calibri"/>
          <w:color w:val="201F1E"/>
        </w:rPr>
        <w:t xml:space="preserve">.  </w:t>
      </w:r>
    </w:p>
    <w:p w14:paraId="32780439" w14:textId="77777777" w:rsidR="0097051A" w:rsidRDefault="0097051A" w:rsidP="0097051A">
      <w:pPr>
        <w:spacing w:after="0" w:line="240" w:lineRule="auto"/>
        <w:rPr>
          <w:rFonts w:ascii="Calibri" w:eastAsia="Times New Roman" w:hAnsi="Calibri" w:cs="Calibri"/>
          <w:color w:val="201F1E"/>
        </w:rPr>
      </w:pPr>
    </w:p>
    <w:p w14:paraId="69657B8F" w14:textId="77777777" w:rsidR="0097051A" w:rsidRDefault="0046331A" w:rsidP="0097051A">
      <w:pPr>
        <w:spacing w:after="0" w:line="240" w:lineRule="auto"/>
        <w:rPr>
          <w:rFonts w:ascii="Calibri" w:eastAsia="Times New Roman" w:hAnsi="Calibri" w:cs="Calibri"/>
          <w:color w:val="201F1E"/>
        </w:rPr>
      </w:pPr>
      <w:r>
        <w:rPr>
          <w:rFonts w:ascii="Calibri" w:eastAsia="Times New Roman" w:hAnsi="Calibri" w:cs="Calibri"/>
          <w:color w:val="201F1E"/>
        </w:rPr>
        <w:t xml:space="preserve">In addition, given the permanency hearing requirements, it would follow that </w:t>
      </w:r>
      <w:r w:rsidR="00B6126B">
        <w:rPr>
          <w:rFonts w:ascii="Calibri" w:eastAsia="Times New Roman" w:hAnsi="Calibri" w:cs="Calibri"/>
          <w:color w:val="201F1E"/>
        </w:rPr>
        <w:t>we</w:t>
      </w:r>
      <w:r>
        <w:rPr>
          <w:rFonts w:ascii="Calibri" w:eastAsia="Times New Roman" w:hAnsi="Calibri" w:cs="Calibri"/>
          <w:color w:val="201F1E"/>
        </w:rPr>
        <w:t xml:space="preserve"> should </w:t>
      </w:r>
      <w:r w:rsidR="00B6126B">
        <w:rPr>
          <w:rFonts w:ascii="Calibri" w:eastAsia="Times New Roman" w:hAnsi="Calibri" w:cs="Calibri"/>
          <w:color w:val="201F1E"/>
        </w:rPr>
        <w:t xml:space="preserve">make sure DCF is </w:t>
      </w:r>
      <w:r w:rsidR="00D5495E">
        <w:rPr>
          <w:rFonts w:ascii="Calibri" w:eastAsia="Times New Roman" w:hAnsi="Calibri" w:cs="Calibri"/>
          <w:color w:val="201F1E"/>
        </w:rPr>
        <w:t>re-open</w:t>
      </w:r>
      <w:r w:rsidR="00B6126B">
        <w:rPr>
          <w:rFonts w:ascii="Calibri" w:eastAsia="Times New Roman" w:hAnsi="Calibri" w:cs="Calibri"/>
          <w:color w:val="201F1E"/>
        </w:rPr>
        <w:t>ing</w:t>
      </w:r>
      <w:r>
        <w:rPr>
          <w:rFonts w:ascii="Calibri" w:eastAsia="Times New Roman" w:hAnsi="Calibri" w:cs="Calibri"/>
          <w:color w:val="201F1E"/>
        </w:rPr>
        <w:t xml:space="preserve"> our client’s</w:t>
      </w:r>
      <w:r w:rsidR="00D5495E">
        <w:rPr>
          <w:rFonts w:ascii="Calibri" w:eastAsia="Times New Roman" w:hAnsi="Calibri" w:cs="Calibri"/>
          <w:color w:val="201F1E"/>
        </w:rPr>
        <w:t xml:space="preserve"> PYA case in the respective juvenile</w:t>
      </w:r>
      <w:r>
        <w:rPr>
          <w:rFonts w:ascii="Calibri" w:eastAsia="Times New Roman" w:hAnsi="Calibri" w:cs="Calibri"/>
          <w:color w:val="201F1E"/>
        </w:rPr>
        <w:t xml:space="preserve"> or probate and </w:t>
      </w:r>
      <w:r w:rsidR="00D5495E">
        <w:rPr>
          <w:rFonts w:ascii="Calibri" w:eastAsia="Times New Roman" w:hAnsi="Calibri" w:cs="Calibri"/>
          <w:color w:val="201F1E"/>
        </w:rPr>
        <w:t xml:space="preserve">family court. </w:t>
      </w:r>
      <w:r w:rsidR="0097051A">
        <w:rPr>
          <w:rFonts w:ascii="Calibri" w:eastAsia="Times New Roman" w:hAnsi="Calibri" w:cs="Calibri"/>
          <w:color w:val="201F1E"/>
        </w:rPr>
        <w:t xml:space="preserve"> Your arguments may differ depending upon the posture of the case:</w:t>
      </w:r>
    </w:p>
    <w:p w14:paraId="001B243F" w14:textId="77777777" w:rsidR="0097051A" w:rsidRDefault="0097051A" w:rsidP="0097051A">
      <w:pPr>
        <w:spacing w:after="0" w:line="240" w:lineRule="auto"/>
        <w:rPr>
          <w:rFonts w:ascii="Calibri" w:eastAsia="Times New Roman" w:hAnsi="Calibri" w:cs="Calibri"/>
          <w:color w:val="201F1E"/>
        </w:rPr>
      </w:pPr>
    </w:p>
    <w:p w14:paraId="32575D4E" w14:textId="5F09B39F" w:rsidR="0097051A" w:rsidRPr="000326C0" w:rsidRDefault="004D69D7" w:rsidP="00571A81">
      <w:pPr>
        <w:pStyle w:val="ListParagraph"/>
        <w:numPr>
          <w:ilvl w:val="0"/>
          <w:numId w:val="8"/>
        </w:numPr>
        <w:ind w:left="360"/>
        <w:rPr>
          <w:rFonts w:ascii="Times New Roman" w:hAnsi="Times New Roman" w:cs="Times New Roman"/>
          <w:sz w:val="24"/>
          <w:szCs w:val="24"/>
        </w:rPr>
      </w:pPr>
      <w:r w:rsidRPr="00262DA9">
        <w:t xml:space="preserve">If the young adult has not yet been discharged by DCF, </w:t>
      </w:r>
      <w:r w:rsidR="00F944C5" w:rsidRPr="00262DA9">
        <w:t>you c</w:t>
      </w:r>
      <w:r w:rsidR="00262DA9">
        <w:t xml:space="preserve">an </w:t>
      </w:r>
      <w:r w:rsidRPr="00262DA9">
        <w:t xml:space="preserve">argue that the court retains jurisdiction under 119 sec. 23(f) until the judge approves an appropriate transition plan.  </w:t>
      </w:r>
      <w:r w:rsidR="0097051A" w:rsidRPr="00262DA9">
        <w:t>I</w:t>
      </w:r>
      <w:r w:rsidR="00282E8A" w:rsidRPr="00262DA9">
        <w:t>n addition</w:t>
      </w:r>
      <w:r w:rsidR="0097051A" w:rsidRPr="00262DA9">
        <w:t>,</w:t>
      </w:r>
      <w:r w:rsidR="00282E8A" w:rsidRPr="00262DA9">
        <w:t xml:space="preserve"> you could </w:t>
      </w:r>
      <w:r w:rsidRPr="00262DA9">
        <w:t xml:space="preserve">argue </w:t>
      </w:r>
      <w:r w:rsidR="00282E8A" w:rsidRPr="00262DA9">
        <w:t xml:space="preserve">that </w:t>
      </w:r>
      <w:r w:rsidRPr="00262DA9">
        <w:t xml:space="preserve">no transition plan is appropriate in the middle of a pandemic where the federal law forbids DCF from discharging a young adult on grounds they’ve turned 22 (or can’t meet the work/school requirements due to COVID).  If the judge disagrees, </w:t>
      </w:r>
      <w:r w:rsidR="000609BC" w:rsidRPr="00262DA9">
        <w:t xml:space="preserve">consider </w:t>
      </w:r>
      <w:r w:rsidRPr="00262DA9">
        <w:t>tak</w:t>
      </w:r>
      <w:r w:rsidR="000609BC" w:rsidRPr="00262DA9">
        <w:t>ing</w:t>
      </w:r>
      <w:r w:rsidRPr="00262DA9">
        <w:t xml:space="preserve"> this up on interlocutory appeal.</w:t>
      </w:r>
    </w:p>
    <w:p w14:paraId="123CD054" w14:textId="77777777" w:rsidR="000326C0" w:rsidRPr="00262DA9" w:rsidRDefault="000326C0" w:rsidP="00571A81">
      <w:pPr>
        <w:pStyle w:val="ListParagraph"/>
        <w:ind w:left="360"/>
        <w:rPr>
          <w:rFonts w:ascii="Times New Roman" w:hAnsi="Times New Roman" w:cs="Times New Roman"/>
          <w:sz w:val="24"/>
          <w:szCs w:val="24"/>
        </w:rPr>
      </w:pPr>
    </w:p>
    <w:p w14:paraId="58AB98F6" w14:textId="65CE31BF" w:rsidR="008135EF" w:rsidRPr="00262DA9" w:rsidRDefault="0093581F" w:rsidP="00571A81">
      <w:pPr>
        <w:pStyle w:val="ListParagraph"/>
        <w:numPr>
          <w:ilvl w:val="0"/>
          <w:numId w:val="8"/>
        </w:numPr>
        <w:ind w:left="360"/>
        <w:rPr>
          <w:rFonts w:ascii="Times New Roman" w:hAnsi="Times New Roman" w:cs="Times New Roman"/>
          <w:sz w:val="24"/>
          <w:szCs w:val="24"/>
        </w:rPr>
      </w:pPr>
      <w:r w:rsidRPr="00262DA9">
        <w:t xml:space="preserve">If </w:t>
      </w:r>
      <w:r w:rsidR="004D69D7" w:rsidRPr="00262DA9">
        <w:t xml:space="preserve">the case was dismissed without objection at age 22 and now the young adult wants to return to care, it may be a harder argument.  The client may have waived the right to object to DCF’s failure to provide an appropriate transition plan. Or maybe the plan was fine at the time but now things have fallen </w:t>
      </w:r>
      <w:r w:rsidR="00282E8A" w:rsidRPr="00262DA9">
        <w:t>apart,</w:t>
      </w:r>
      <w:r w:rsidR="004D69D7" w:rsidRPr="00262DA9">
        <w:t xml:space="preserve"> and the young adult wants to return to DCF.   The argument that the Juvenile Court should reopen the case is more difficult.  </w:t>
      </w:r>
      <w:r w:rsidR="008135EF" w:rsidRPr="00262DA9">
        <w:t xml:space="preserve">If the court won’t continue jurisdiction, and the young adult is due for their permanency hearing, DCF may not get IV-E reimbursement.  </w:t>
      </w:r>
      <w:r w:rsidR="00BE1DE5" w:rsidRPr="00262DA9">
        <w:t>T</w:t>
      </w:r>
      <w:r w:rsidR="008135EF" w:rsidRPr="00262DA9">
        <w:t>his does not absolve DCF from the responsibility under federal law to continue to provide care.  If the client is not due for a permanency hearing between now and September 30, this shouldn’t matter.</w:t>
      </w:r>
    </w:p>
    <w:p w14:paraId="1325E1A8" w14:textId="77777777" w:rsidR="00D85899" w:rsidRDefault="00D85899"/>
    <w:sectPr w:rsidR="00D85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D76AA" w14:textId="77777777" w:rsidR="003C37B7" w:rsidRDefault="003C37B7" w:rsidP="00B6126B">
      <w:pPr>
        <w:spacing w:after="0" w:line="240" w:lineRule="auto"/>
      </w:pPr>
      <w:r>
        <w:separator/>
      </w:r>
    </w:p>
  </w:endnote>
  <w:endnote w:type="continuationSeparator" w:id="0">
    <w:p w14:paraId="6D113B62" w14:textId="77777777" w:rsidR="003C37B7" w:rsidRDefault="003C37B7" w:rsidP="00B6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0241" w14:textId="77777777" w:rsidR="003C37B7" w:rsidRDefault="003C37B7" w:rsidP="00B6126B">
      <w:pPr>
        <w:spacing w:after="0" w:line="240" w:lineRule="auto"/>
      </w:pPr>
      <w:r>
        <w:separator/>
      </w:r>
    </w:p>
  </w:footnote>
  <w:footnote w:type="continuationSeparator" w:id="0">
    <w:p w14:paraId="7CDDC717" w14:textId="77777777" w:rsidR="003C37B7" w:rsidRDefault="003C37B7" w:rsidP="00B6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FA3"/>
    <w:multiLevelType w:val="hybridMultilevel"/>
    <w:tmpl w:val="F05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69F6"/>
    <w:multiLevelType w:val="hybridMultilevel"/>
    <w:tmpl w:val="BCC4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A4ED7"/>
    <w:multiLevelType w:val="hybridMultilevel"/>
    <w:tmpl w:val="927E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2D29"/>
    <w:multiLevelType w:val="multilevel"/>
    <w:tmpl w:val="67D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41DAD"/>
    <w:multiLevelType w:val="hybridMultilevel"/>
    <w:tmpl w:val="0EF2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93683"/>
    <w:multiLevelType w:val="hybridMultilevel"/>
    <w:tmpl w:val="E2CC54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6051F22"/>
    <w:multiLevelType w:val="multilevel"/>
    <w:tmpl w:val="026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9733E7"/>
    <w:multiLevelType w:val="multilevel"/>
    <w:tmpl w:val="E4F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4"/>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6F"/>
    <w:rsid w:val="000326C0"/>
    <w:rsid w:val="00042384"/>
    <w:rsid w:val="000609BC"/>
    <w:rsid w:val="000914F6"/>
    <w:rsid w:val="000A0E27"/>
    <w:rsid w:val="000B73FD"/>
    <w:rsid w:val="00185996"/>
    <w:rsid w:val="001945B8"/>
    <w:rsid w:val="0019750E"/>
    <w:rsid w:val="001D654C"/>
    <w:rsid w:val="001E1A49"/>
    <w:rsid w:val="00212EDF"/>
    <w:rsid w:val="00252715"/>
    <w:rsid w:val="00262DA9"/>
    <w:rsid w:val="00282E8A"/>
    <w:rsid w:val="002C3AE1"/>
    <w:rsid w:val="002F7E05"/>
    <w:rsid w:val="00340947"/>
    <w:rsid w:val="00341F01"/>
    <w:rsid w:val="0037346A"/>
    <w:rsid w:val="003C37B7"/>
    <w:rsid w:val="004229E6"/>
    <w:rsid w:val="00436867"/>
    <w:rsid w:val="0046331A"/>
    <w:rsid w:val="004C0557"/>
    <w:rsid w:val="004D69D7"/>
    <w:rsid w:val="00523387"/>
    <w:rsid w:val="005471C1"/>
    <w:rsid w:val="00571A81"/>
    <w:rsid w:val="00602C4B"/>
    <w:rsid w:val="00662E6D"/>
    <w:rsid w:val="006B0024"/>
    <w:rsid w:val="006B6585"/>
    <w:rsid w:val="006B6D27"/>
    <w:rsid w:val="006B78E3"/>
    <w:rsid w:val="006D0D71"/>
    <w:rsid w:val="00706495"/>
    <w:rsid w:val="007A0520"/>
    <w:rsid w:val="007A570D"/>
    <w:rsid w:val="008135EF"/>
    <w:rsid w:val="00871720"/>
    <w:rsid w:val="008D2CBE"/>
    <w:rsid w:val="009101AB"/>
    <w:rsid w:val="00912E35"/>
    <w:rsid w:val="0093581F"/>
    <w:rsid w:val="0097051A"/>
    <w:rsid w:val="00970CD0"/>
    <w:rsid w:val="009A3AFC"/>
    <w:rsid w:val="009E1B0C"/>
    <w:rsid w:val="00A11EE7"/>
    <w:rsid w:val="00A276B2"/>
    <w:rsid w:val="00A96800"/>
    <w:rsid w:val="00AE0A7B"/>
    <w:rsid w:val="00AF684C"/>
    <w:rsid w:val="00B6126B"/>
    <w:rsid w:val="00B64A58"/>
    <w:rsid w:val="00BB1E79"/>
    <w:rsid w:val="00BE1DE5"/>
    <w:rsid w:val="00BF37AB"/>
    <w:rsid w:val="00C42201"/>
    <w:rsid w:val="00C82AF9"/>
    <w:rsid w:val="00C86228"/>
    <w:rsid w:val="00CF6090"/>
    <w:rsid w:val="00D337AC"/>
    <w:rsid w:val="00D40EDB"/>
    <w:rsid w:val="00D5495E"/>
    <w:rsid w:val="00D84A11"/>
    <w:rsid w:val="00D85899"/>
    <w:rsid w:val="00DB3AB6"/>
    <w:rsid w:val="00DF247A"/>
    <w:rsid w:val="00E37033"/>
    <w:rsid w:val="00E42D6A"/>
    <w:rsid w:val="00E448F2"/>
    <w:rsid w:val="00E7047F"/>
    <w:rsid w:val="00E7377F"/>
    <w:rsid w:val="00E73B54"/>
    <w:rsid w:val="00EF496F"/>
    <w:rsid w:val="00F17A8F"/>
    <w:rsid w:val="00F21D79"/>
    <w:rsid w:val="00F21F5F"/>
    <w:rsid w:val="00F944C5"/>
    <w:rsid w:val="00FB0FC1"/>
    <w:rsid w:val="00FE0978"/>
    <w:rsid w:val="00FE49EE"/>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A273"/>
  <w15:chartTrackingRefBased/>
  <w15:docId w15:val="{1971E1EF-6E0D-41EC-BCF8-CA02F38C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F49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F49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496F"/>
    <w:rPr>
      <w:color w:val="0000FF"/>
      <w:u w:val="single"/>
    </w:rPr>
  </w:style>
  <w:style w:type="paragraph" w:styleId="ListParagraph">
    <w:name w:val="List Paragraph"/>
    <w:basedOn w:val="Normal"/>
    <w:uiPriority w:val="34"/>
    <w:qFormat/>
    <w:rsid w:val="00340947"/>
    <w:pPr>
      <w:ind w:left="720"/>
      <w:contextualSpacing/>
    </w:pPr>
  </w:style>
  <w:style w:type="paragraph" w:styleId="Header">
    <w:name w:val="header"/>
    <w:basedOn w:val="Normal"/>
    <w:link w:val="HeaderChar"/>
    <w:uiPriority w:val="99"/>
    <w:unhideWhenUsed/>
    <w:rsid w:val="00B61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6B"/>
  </w:style>
  <w:style w:type="paragraph" w:styleId="Footer">
    <w:name w:val="footer"/>
    <w:basedOn w:val="Normal"/>
    <w:link w:val="FooterChar"/>
    <w:uiPriority w:val="99"/>
    <w:unhideWhenUsed/>
    <w:rsid w:val="00B61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118">
      <w:bodyDiv w:val="1"/>
      <w:marLeft w:val="0"/>
      <w:marRight w:val="0"/>
      <w:marTop w:val="0"/>
      <w:marBottom w:val="0"/>
      <w:divBdr>
        <w:top w:val="none" w:sz="0" w:space="0" w:color="auto"/>
        <w:left w:val="none" w:sz="0" w:space="0" w:color="auto"/>
        <w:bottom w:val="none" w:sz="0" w:space="0" w:color="auto"/>
        <w:right w:val="none" w:sz="0" w:space="0" w:color="auto"/>
      </w:divBdr>
    </w:div>
    <w:div w:id="1723290288">
      <w:bodyDiv w:val="1"/>
      <w:marLeft w:val="0"/>
      <w:marRight w:val="0"/>
      <w:marTop w:val="0"/>
      <w:marBottom w:val="0"/>
      <w:divBdr>
        <w:top w:val="none" w:sz="0" w:space="0" w:color="auto"/>
        <w:left w:val="none" w:sz="0" w:space="0" w:color="auto"/>
        <w:bottom w:val="none" w:sz="0" w:space="0" w:color="auto"/>
        <w:right w:val="none" w:sz="0" w:space="0" w:color="auto"/>
      </w:divBdr>
    </w:div>
    <w:div w:id="1745176533">
      <w:bodyDiv w:val="1"/>
      <w:marLeft w:val="0"/>
      <w:marRight w:val="0"/>
      <w:marTop w:val="0"/>
      <w:marBottom w:val="0"/>
      <w:divBdr>
        <w:top w:val="none" w:sz="0" w:space="0" w:color="auto"/>
        <w:left w:val="none" w:sz="0" w:space="0" w:color="auto"/>
        <w:bottom w:val="none" w:sz="0" w:space="0" w:color="auto"/>
        <w:right w:val="none" w:sz="0" w:space="0" w:color="auto"/>
      </w:divBdr>
    </w:div>
    <w:div w:id="17869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sites/default/files/documents/cb/pi2104.pdf" TargetMode="External"/><Relationship Id="rId3" Type="http://schemas.openxmlformats.org/officeDocument/2006/relationships/settings" Target="settings.xml"/><Relationship Id="rId7" Type="http://schemas.openxmlformats.org/officeDocument/2006/relationships/hyperlink" Target="https://www.publiccounsel.net/cafl/cafl-news/covid-19-news-and-resources/resources-for-youth-and-young-ad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Ventullo</dc:creator>
  <cp:keywords/>
  <dc:description/>
  <cp:lastModifiedBy>Amy Karp</cp:lastModifiedBy>
  <cp:revision>25</cp:revision>
  <dcterms:created xsi:type="dcterms:W3CDTF">2021-03-23T19:35:00Z</dcterms:created>
  <dcterms:modified xsi:type="dcterms:W3CDTF">2021-04-08T21:53:00Z</dcterms:modified>
</cp:coreProperties>
</file>