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E3" w:rsidRPr="000A49F2" w:rsidRDefault="002E42E3" w:rsidP="002E42E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2E42E3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  <w:t>Summary of Provisions Impacting Transition Age Youth in the Recently Passed Federal Stimulus and Funding Package</w:t>
      </w:r>
    </w:p>
    <w:p w:rsidR="002E42E3" w:rsidRDefault="002E42E3" w:rsidP="002E42E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p w:rsidR="000A49F2" w:rsidRDefault="002E42E3" w:rsidP="000A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</w:rPr>
        <w:t>Provid</w:t>
      </w:r>
      <w:r w:rsidR="00C54CBA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</w:rPr>
        <w:t>ed by the National Association of Counsel for Children</w:t>
      </w:r>
      <w:r w:rsidR="000A49F2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</w:rPr>
        <w:t>,</w:t>
      </w:r>
    </w:p>
    <w:p w:rsidR="002E42E3" w:rsidRPr="002E42E3" w:rsidRDefault="000A49F2" w:rsidP="000A49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</w:rPr>
        <w:t>the Juvenile Law Center, and the Annie E. Casey  Foundation</w:t>
      </w:r>
    </w:p>
    <w:p w:rsidR="002E42E3" w:rsidRPr="002E42E3" w:rsidRDefault="002E42E3" w:rsidP="002E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42E3" w:rsidRPr="002E42E3" w:rsidRDefault="002E42E3" w:rsidP="002E4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42E3" w:rsidRPr="000A49F2" w:rsidRDefault="002E42E3" w:rsidP="000A49F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  <w:t>Increase and Expansion of Chafee</w:t>
      </w:r>
    </w:p>
    <w:p w:rsidR="000A49F2" w:rsidRPr="000A49F2" w:rsidRDefault="000A49F2" w:rsidP="000A49F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2E42E3" w:rsidRDefault="002E42E3" w:rsidP="002E42E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Increase in Chafee funds by 400 million.</w:t>
      </w:r>
    </w:p>
    <w:p w:rsidR="002E42E3" w:rsidRPr="002E42E3" w:rsidRDefault="002E42E3" w:rsidP="002E42E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No state match is required for this increased Chafee allocation.</w:t>
      </w:r>
    </w:p>
    <w:p w:rsidR="002E42E3" w:rsidRPr="002E42E3" w:rsidRDefault="002E42E3" w:rsidP="002E42E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Youth are Chafee eligible until reaching age 27.</w:t>
      </w:r>
    </w:p>
    <w:p w:rsidR="002E42E3" w:rsidRPr="002E42E3" w:rsidRDefault="002E42E3" w:rsidP="008114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States can lift the 30% cap on room and board and provide room and board to young people who are between ages</w:t>
      </w:r>
      <w:r w:rsidR="000A49F2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18 years and 27 and have experienced foster care at 14 years of age or older.</w:t>
      </w:r>
    </w:p>
    <w:p w:rsidR="002E42E3" w:rsidRPr="000A49F2" w:rsidRDefault="002E42E3" w:rsidP="002E42E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These provisions are effective through FY 2021.</w:t>
      </w:r>
    </w:p>
    <w:p w:rsidR="000A49F2" w:rsidRPr="002E42E3" w:rsidRDefault="000A49F2" w:rsidP="000A49F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2E42E3" w:rsidRPr="000A49F2" w:rsidRDefault="002E42E3" w:rsidP="000A49F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  <w:t>Education and Training Vouchers (ETV)</w:t>
      </w:r>
    </w:p>
    <w:p w:rsidR="000A49F2" w:rsidRPr="000A49F2" w:rsidRDefault="000A49F2" w:rsidP="000A49F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2E42E3" w:rsidRDefault="002E42E3" w:rsidP="002E42E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At least 50 million of the 400 million Chafee allocation must be used for ETV.</w:t>
      </w:r>
    </w:p>
    <w:p w:rsidR="002E42E3" w:rsidRPr="002E42E3" w:rsidRDefault="002E42E3" w:rsidP="002E42E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The maximum ETV award is $12,000 per individual youth per year (from $5000) through FY 2022.</w:t>
      </w:r>
    </w:p>
    <w:p w:rsidR="002E42E3" w:rsidRPr="002E42E3" w:rsidRDefault="002E42E3" w:rsidP="002152E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Waiver of the enrollment and satisfactory academic progress requirements (SAP) for ETV through FY 2021 if young</w:t>
      </w:r>
      <w:r w:rsidR="000A49F2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people are unable to meet the requirement due to the pandemic.</w:t>
      </w:r>
    </w:p>
    <w:p w:rsidR="002E42E3" w:rsidRPr="000A49F2" w:rsidRDefault="002E42E3" w:rsidP="003127B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Through FY 2021, ETV funds can be used for maintaining training and postsecondary education, including less than</w:t>
      </w:r>
      <w:r w:rsidR="000A49F2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full-time matriculation costs or other expenses that are not part of the cost of attendance but would help support youth in remaining enrolled.</w:t>
      </w:r>
    </w:p>
    <w:p w:rsidR="000A49F2" w:rsidRPr="002E42E3" w:rsidRDefault="000A49F2" w:rsidP="000A49F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0A49F2" w:rsidRDefault="002E42E3" w:rsidP="000A49F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DA5521"/>
          <w:sz w:val="23"/>
          <w:szCs w:val="23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color w:val="DA5521"/>
          <w:sz w:val="23"/>
          <w:szCs w:val="23"/>
          <w:bdr w:val="none" w:sz="0" w:space="0" w:color="auto" w:frame="1"/>
        </w:rPr>
        <w:t>Preventing Youth from Aging out and Providing Re-Entry</w:t>
      </w:r>
    </w:p>
    <w:p w:rsidR="000A49F2" w:rsidRPr="000A49F2" w:rsidRDefault="000A49F2" w:rsidP="000A49F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2E42E3" w:rsidRDefault="002E42E3" w:rsidP="002E42E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A state cannot require a child to leave foster care due to age (21).</w:t>
      </w:r>
    </w:p>
    <w:p w:rsidR="002E42E3" w:rsidRPr="002E42E3" w:rsidRDefault="002E42E3" w:rsidP="0026084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Young people can remain IV-E eligible even if they are not able to meet the participation (work and school)</w:t>
      </w:r>
      <w:r w:rsidR="0000660B" w:rsidRPr="0000660B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bookmarkStart w:id="0" w:name="_GoBack"/>
      <w:bookmarkEnd w:id="0"/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requirements for extended foster care and if they are age 21.</w:t>
      </w:r>
    </w:p>
    <w:p w:rsidR="002E42E3" w:rsidRPr="002E42E3" w:rsidRDefault="002E42E3" w:rsidP="00D22A7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States are required (“shall”) to provide re-entry to foster care to youth who aged out during the pandemic and have</w:t>
      </w:r>
      <w:r w:rsidR="000A49F2" w:rsidRPr="000A49F2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not attained age 22 and must facilitate the re-entry process.</w:t>
      </w:r>
    </w:p>
    <w:p w:rsidR="002E42E3" w:rsidRPr="002E42E3" w:rsidRDefault="002E42E3" w:rsidP="002E42E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States must continue to follow all requirements related to permanency and transition planning.</w:t>
      </w:r>
    </w:p>
    <w:p w:rsidR="002E42E3" w:rsidRPr="000A49F2" w:rsidRDefault="002E42E3" w:rsidP="002E42E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These provisions are effective through FY 2021 and apply to all states and territories.</w:t>
      </w:r>
    </w:p>
    <w:p w:rsidR="000A49F2" w:rsidRPr="002E42E3" w:rsidRDefault="000A49F2" w:rsidP="000A49F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2E42E3" w:rsidRPr="000A49F2" w:rsidRDefault="002E42E3" w:rsidP="000A49F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  <w:t>Provisions to Notify Young People and Streamline Access to Assistance</w:t>
      </w:r>
    </w:p>
    <w:p w:rsidR="000A49F2" w:rsidRPr="000A49F2" w:rsidRDefault="000A49F2" w:rsidP="000A49F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2E42E3" w:rsidRDefault="002E42E3" w:rsidP="002E42E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States must notify young people about expanded Chafee eligibility and services, the moratorium, and the re-entry provisions.</w:t>
      </w:r>
    </w:p>
    <w:p w:rsidR="002E42E3" w:rsidRPr="002E42E3" w:rsidRDefault="002E42E3" w:rsidP="002E42E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The law prohibits HHS from requiring states to provide “proof of a direct connection to the pandemic if</w:t>
      </w:r>
      <w:r w:rsidR="000A49F2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doing so would be administratively burdensome or would otherwise delay or impede the ability of the State to serve</w:t>
      </w:r>
      <w:r w:rsidR="000A49F2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foster youth.”</w:t>
      </w:r>
    </w:p>
    <w:p w:rsidR="002E42E3" w:rsidRPr="000A49F2" w:rsidRDefault="002E42E3" w:rsidP="000A49F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  <w:t>General Child Welfare System Provisions</w:t>
      </w:r>
    </w:p>
    <w:p w:rsidR="000A49F2" w:rsidRPr="000A49F2" w:rsidRDefault="000A49F2" w:rsidP="000A49F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2E42E3" w:rsidRDefault="002E42E3" w:rsidP="002E42E3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Waives the state match for evidence-based mental health, substance abuse, and parenting skill prevention services.</w:t>
      </w:r>
    </w:p>
    <w:p w:rsidR="002E42E3" w:rsidRPr="002E42E3" w:rsidRDefault="002E42E3" w:rsidP="002E42E3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Provides $75 million in emergency funding for the MaryLee Allen Promoting Safe and Stable Families program.</w:t>
      </w:r>
    </w:p>
    <w:p w:rsidR="002E42E3" w:rsidRPr="002E42E3" w:rsidRDefault="002E42E3" w:rsidP="002E42E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Provides $10 million for the Court Improvement Program and waives the state match for the new funds. [NOTE: </w:t>
      </w:r>
      <w:r w:rsidRPr="002E42E3">
        <w:rPr>
          <w:rFonts w:ascii="Times New Roman" w:eastAsia="Times New Roman" w:hAnsi="Times New Roman" w:cs="Times New Roman"/>
          <w:color w:val="000000"/>
          <w:sz w:val="24"/>
          <w:szCs w:val="24"/>
        </w:rPr>
        <w:t>These funds shall be used for activities related to COVID-19, such as technology investments, trainings to facilitate remote hearings, and programs to help families avoid delays in legal proceedings as a result of COVID-19. The legislation also contains technical fix to the Court Improvement Program to simplify reauthorization].</w:t>
      </w:r>
    </w:p>
    <w:p w:rsidR="002E42E3" w:rsidRPr="002E42E3" w:rsidRDefault="002E42E3" w:rsidP="002E42E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Allows program flexibilities in the Maternal, Infant, and Early Childhood Education Home Visiting program.</w:t>
      </w:r>
    </w:p>
    <w:p w:rsidR="002E42E3" w:rsidRPr="002E42E3" w:rsidRDefault="002E42E3" w:rsidP="002E42E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Provides $20 million for kinship navigator programs, waives the state match and allows states to use models not yet in the Evidence Clearinghouse for kinship navigator programs.</w:t>
      </w:r>
    </w:p>
    <w:p w:rsidR="002E42E3" w:rsidRPr="002E42E3" w:rsidRDefault="002E42E3" w:rsidP="002E42E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Makes a technical correction to Title IV-E treatment of the 6.2% Federal Medical Assistance Percentage (FMAP) increase for Family First Transition Act funding.</w:t>
      </w:r>
    </w:p>
    <w:p w:rsidR="002E42E3" w:rsidRPr="000A49F2" w:rsidRDefault="002E42E3" w:rsidP="002E42E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Provisions are effective through FY 2021.</w:t>
      </w:r>
    </w:p>
    <w:p w:rsidR="000A49F2" w:rsidRPr="002E42E3" w:rsidRDefault="000A49F2" w:rsidP="000A49F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2E42E3" w:rsidRPr="000A49F2" w:rsidRDefault="002E42E3" w:rsidP="000A49F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  <w:t>Making FYI Permanent and the Family Unification Program</w:t>
      </w:r>
    </w:p>
    <w:p w:rsidR="000A49F2" w:rsidRPr="000A49F2" w:rsidRDefault="000A49F2" w:rsidP="000A49F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2E42E3" w:rsidRDefault="002E42E3" w:rsidP="003C435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Makes the Foster Youth to Independence (FYI) program permanent in statute. This program provides a three year</w:t>
      </w:r>
      <w:r w:rsidR="000A49F2" w:rsidRPr="000A49F2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housing voucher to young people aging out of foster care without a plan for housing and young adults who were in</w:t>
      </w:r>
      <w:r w:rsidR="000A49F2" w:rsidRPr="000A49F2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foster care and become homeless.</w:t>
      </w:r>
    </w:p>
    <w:p w:rsidR="002E42E3" w:rsidRPr="002E42E3" w:rsidRDefault="002E42E3" w:rsidP="002E42E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Extends the FYI voucher term by 2 additional years for individuals participating in the Family Self- Sufficiency Program</w:t>
      </w:r>
    </w:p>
    <w:p w:rsidR="002E42E3" w:rsidRPr="002E42E3" w:rsidRDefault="002E42E3" w:rsidP="002E42E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(FSS) or alternative work force and related programs.</w:t>
      </w:r>
    </w:p>
    <w:p w:rsidR="002E42E3" w:rsidRPr="000A49F2" w:rsidRDefault="002E42E3" w:rsidP="00DB0B35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Provide $25 million for the Family Unification Program (FUP). $20 million of these funds are for vouchers for </w:t>
      </w:r>
      <w:r w:rsidR="0000660B"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young people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.</w:t>
      </w:r>
    </w:p>
    <w:p w:rsidR="000A49F2" w:rsidRPr="002E42E3" w:rsidRDefault="000A49F2" w:rsidP="000A49F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0A49F2" w:rsidRDefault="002E42E3" w:rsidP="000A49F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  <w:t>General Housing Provisions</w:t>
      </w:r>
    </w:p>
    <w:p w:rsidR="000A49F2" w:rsidRPr="000A49F2" w:rsidRDefault="000A49F2" w:rsidP="000A49F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2E42E3" w:rsidRDefault="002E42E3" w:rsidP="002E42E3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$25 billion for rental assistance for states and localities.</w:t>
      </w:r>
    </w:p>
    <w:p w:rsidR="002E42E3" w:rsidRPr="002E42E3" w:rsidRDefault="002E42E3" w:rsidP="002E42E3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An extension of the existing eviction moratorium through January 31, 2021.</w:t>
      </w:r>
    </w:p>
    <w:p w:rsidR="002E42E3" w:rsidRPr="002E42E3" w:rsidRDefault="002E42E3" w:rsidP="002E4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 </w:t>
      </w:r>
    </w:p>
    <w:p w:rsidR="002E42E3" w:rsidRPr="000A49F2" w:rsidRDefault="002E42E3" w:rsidP="000A49F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  <w:t>Direct Payments (Stimulus Checks)</w:t>
      </w:r>
    </w:p>
    <w:p w:rsidR="000A49F2" w:rsidRPr="000A49F2" w:rsidRDefault="000A49F2" w:rsidP="000A49F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2E42E3" w:rsidRDefault="002E42E3" w:rsidP="002E4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• $600 for an eligible individual and qualifying children. I. Supplemental Nutrition Assistance Program (SNAP)</w:t>
      </w:r>
    </w:p>
    <w:p w:rsidR="002E42E3" w:rsidRPr="002E42E3" w:rsidRDefault="002E42E3" w:rsidP="002E4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• 15% increase in the SNAP benefit for all recipients.</w:t>
      </w:r>
    </w:p>
    <w:p w:rsidR="002E42E3" w:rsidRPr="002E42E3" w:rsidRDefault="002E42E3" w:rsidP="002E4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 </w:t>
      </w:r>
    </w:p>
    <w:p w:rsidR="002E42E3" w:rsidRPr="000A49F2" w:rsidRDefault="002E42E3" w:rsidP="000A49F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  <w:t>Relief for Higher Education Institutions and Students</w:t>
      </w:r>
    </w:p>
    <w:p w:rsidR="000A49F2" w:rsidRPr="000A49F2" w:rsidRDefault="000A49F2" w:rsidP="000A49F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2E42E3" w:rsidRDefault="002E42E3" w:rsidP="002E42E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$22.7 billion allocated to a Higher Education Relief Fund for colleges and universities. At least half of this amount must go directly to students in the form of additional financial aid.</w:t>
      </w:r>
    </w:p>
    <w:p w:rsidR="002E42E3" w:rsidRPr="002E42E3" w:rsidRDefault="002E42E3" w:rsidP="002E42E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Increases the maximum Pell grant award by $150, from $6,345 to $6,495 for the 2021-2022 academic year.</w:t>
      </w:r>
    </w:p>
    <w:p w:rsidR="002E42E3" w:rsidRPr="002E42E3" w:rsidRDefault="002E42E3" w:rsidP="002E4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 </w:t>
      </w:r>
    </w:p>
    <w:p w:rsidR="002E42E3" w:rsidRPr="000A49F2" w:rsidRDefault="002E42E3" w:rsidP="000A49F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  <w:t>REAL Act Provisions: Removing Barriers to Pell Grant Eligibility to Individuals who Are Incarcerated and with Prior Drug Convictions</w:t>
      </w:r>
    </w:p>
    <w:p w:rsidR="000A49F2" w:rsidRPr="000A49F2" w:rsidRDefault="000A49F2" w:rsidP="000A49F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2E42E3" w:rsidRDefault="002E42E3" w:rsidP="002E42E3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Makes individuals serving a “criminal sentence in a Federal, State, or local penal institution, prison, jail, reformatory, work farm, or other similar correctional institution” eligible to receive Pell Grant funds if they are enrolled in or accepted to a Prison Education Program.</w:t>
      </w:r>
    </w:p>
    <w:p w:rsidR="002E42E3" w:rsidRPr="002E42E3" w:rsidRDefault="002E42E3" w:rsidP="002E42E3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Removes the prohibition on federal student aid for students with drug convictions that occurred while they were receiving federal student aid.</w:t>
      </w:r>
    </w:p>
    <w:p w:rsidR="002E42E3" w:rsidRPr="002E42E3" w:rsidRDefault="002E42E3" w:rsidP="002E4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 </w:t>
      </w:r>
    </w:p>
    <w:p w:rsidR="002E42E3" w:rsidRPr="000A49F2" w:rsidRDefault="002E42E3" w:rsidP="000A49F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</w:pPr>
      <w:r w:rsidRPr="000A49F2">
        <w:rPr>
          <w:rFonts w:ascii="inherit" w:eastAsia="Times New Roman" w:hAnsi="inherit" w:cs="Times New Roman"/>
          <w:b/>
          <w:bCs/>
          <w:color w:val="DA5521"/>
          <w:sz w:val="23"/>
          <w:szCs w:val="23"/>
          <w:bdr w:val="none" w:sz="0" w:space="0" w:color="auto" w:frame="1"/>
        </w:rPr>
        <w:t>Streamlining the FAFSA for Youth with Experience in Foster Care and Homelessness</w:t>
      </w:r>
    </w:p>
    <w:p w:rsidR="000A49F2" w:rsidRPr="000A49F2" w:rsidRDefault="000A49F2" w:rsidP="000A49F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2E42E3" w:rsidRPr="002E42E3" w:rsidRDefault="002E42E3" w:rsidP="002E42E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Eliminates the requirement that the status of foster youth and unaccompanied homeless youths be redetermined every year.</w:t>
      </w:r>
    </w:p>
    <w:p w:rsidR="002E42E3" w:rsidRPr="002E42E3" w:rsidRDefault="002E42E3" w:rsidP="002E42E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Expands the list of officials and programs that may verify that an applicant is an unaccompanied homeless youth.</w:t>
      </w:r>
    </w:p>
    <w:p w:rsidR="002E42E3" w:rsidRPr="002E42E3" w:rsidRDefault="002E42E3" w:rsidP="00E50989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Requires financial aid administrators to make a determination of unaccompanied homeless youth status for youth</w:t>
      </w:r>
      <w:r w:rsidR="000A49F2" w:rsidRPr="00D87F1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who cannot get determinations from other authorities based on either a written statement from or documented</w:t>
      </w:r>
      <w:r w:rsidR="00D87F13" w:rsidRPr="00D87F1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interview with the student.</w:t>
      </w:r>
    </w:p>
    <w:p w:rsidR="002E42E3" w:rsidRPr="002E42E3" w:rsidRDefault="002E42E3" w:rsidP="002E42E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Requires the development of a simplified FAFSA with a single question on homeless status.</w:t>
      </w:r>
    </w:p>
    <w:p w:rsidR="002E42E3" w:rsidRPr="002E42E3" w:rsidRDefault="002E42E3" w:rsidP="0037168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To verify a youth’s foster care status, institutions must accept official state documents, an electronic data match with</w:t>
      </w:r>
      <w:r w:rsidR="00D87F13" w:rsidRPr="00D87F1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the state agency, a documented phone call with a county agency, foster care provider, attorney or CASA, or</w:t>
      </w:r>
      <w:r w:rsidR="00D87F13" w:rsidRPr="00D87F1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verification that the student is eligible for a Chafee ETV grant.</w:t>
      </w:r>
    </w:p>
    <w:p w:rsidR="002E42E3" w:rsidRPr="002E42E3" w:rsidRDefault="002E42E3" w:rsidP="00ED546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Allows financial aid administrators to make a determination of independent status for students who do not qualify</w:t>
      </w:r>
      <w:r w:rsidR="00D87F13" w:rsidRPr="00D87F1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 xml:space="preserve"> </w:t>
      </w: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under other criteria based on “other unusual circumstances in which the student is unable to contact a parent or where contact with parents poses a risk to such student.” This can include circumstances of human trafficking, refugee or asylum status, parental abandonment or parental imprisonment.</w:t>
      </w:r>
    </w:p>
    <w:p w:rsidR="002E42E3" w:rsidRPr="002E42E3" w:rsidRDefault="002E42E3" w:rsidP="002E42E3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2E42E3">
        <w:rPr>
          <w:rFonts w:ascii="inherit" w:eastAsia="Times New Roman" w:hAnsi="inherit" w:cs="Times New Roman"/>
          <w:color w:val="595959"/>
          <w:sz w:val="23"/>
          <w:szCs w:val="23"/>
          <w:bdr w:val="none" w:sz="0" w:space="0" w:color="auto" w:frame="1"/>
        </w:rPr>
        <w:t>These provisions take effect on July 1, 2023.</w:t>
      </w:r>
    </w:p>
    <w:p w:rsidR="00B00D99" w:rsidRDefault="00B00D99"/>
    <w:sectPr w:rsidR="00B0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8E0"/>
    <w:multiLevelType w:val="hybridMultilevel"/>
    <w:tmpl w:val="4E580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3546"/>
    <w:multiLevelType w:val="multilevel"/>
    <w:tmpl w:val="F1F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E16AD"/>
    <w:multiLevelType w:val="multilevel"/>
    <w:tmpl w:val="4B6E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9769D5"/>
    <w:multiLevelType w:val="multilevel"/>
    <w:tmpl w:val="9FC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06E80"/>
    <w:multiLevelType w:val="multilevel"/>
    <w:tmpl w:val="C570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26914"/>
    <w:multiLevelType w:val="multilevel"/>
    <w:tmpl w:val="FDD8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CB2236"/>
    <w:multiLevelType w:val="multilevel"/>
    <w:tmpl w:val="3DEE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23361D"/>
    <w:multiLevelType w:val="multilevel"/>
    <w:tmpl w:val="5292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91991"/>
    <w:multiLevelType w:val="multilevel"/>
    <w:tmpl w:val="E6D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43B3B"/>
    <w:multiLevelType w:val="multilevel"/>
    <w:tmpl w:val="13F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755BDC"/>
    <w:multiLevelType w:val="multilevel"/>
    <w:tmpl w:val="8BB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4124F0"/>
    <w:multiLevelType w:val="multilevel"/>
    <w:tmpl w:val="A30A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3E0E3C"/>
    <w:multiLevelType w:val="multilevel"/>
    <w:tmpl w:val="9CEA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2D44A9"/>
    <w:multiLevelType w:val="multilevel"/>
    <w:tmpl w:val="6F5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5407C0"/>
    <w:multiLevelType w:val="multilevel"/>
    <w:tmpl w:val="EDE0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9757DC"/>
    <w:multiLevelType w:val="multilevel"/>
    <w:tmpl w:val="B71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CD3C73"/>
    <w:multiLevelType w:val="multilevel"/>
    <w:tmpl w:val="7F42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B54EEA"/>
    <w:multiLevelType w:val="multilevel"/>
    <w:tmpl w:val="56E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A4103B"/>
    <w:multiLevelType w:val="multilevel"/>
    <w:tmpl w:val="AC2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296BB8"/>
    <w:multiLevelType w:val="multilevel"/>
    <w:tmpl w:val="698C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D47C34"/>
    <w:multiLevelType w:val="multilevel"/>
    <w:tmpl w:val="6B6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1640D"/>
    <w:multiLevelType w:val="multilevel"/>
    <w:tmpl w:val="357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6"/>
  </w:num>
  <w:num w:numId="5">
    <w:abstractNumId w:val="19"/>
  </w:num>
  <w:num w:numId="6">
    <w:abstractNumId w:val="5"/>
  </w:num>
  <w:num w:numId="7">
    <w:abstractNumId w:val="10"/>
  </w:num>
  <w:num w:numId="8">
    <w:abstractNumId w:val="21"/>
  </w:num>
  <w:num w:numId="9">
    <w:abstractNumId w:val="13"/>
  </w:num>
  <w:num w:numId="10">
    <w:abstractNumId w:val="15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  <w:num w:numId="15">
    <w:abstractNumId w:val="20"/>
  </w:num>
  <w:num w:numId="16">
    <w:abstractNumId w:val="9"/>
  </w:num>
  <w:num w:numId="17">
    <w:abstractNumId w:val="16"/>
  </w:num>
  <w:num w:numId="18">
    <w:abstractNumId w:val="17"/>
  </w:num>
  <w:num w:numId="19">
    <w:abstractNumId w:val="8"/>
  </w:num>
  <w:num w:numId="20">
    <w:abstractNumId w:val="12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E3"/>
    <w:rsid w:val="0000660B"/>
    <w:rsid w:val="000A49F2"/>
    <w:rsid w:val="002E42E3"/>
    <w:rsid w:val="00B00D99"/>
    <w:rsid w:val="00C54CBA"/>
    <w:rsid w:val="00D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F3B5"/>
  <w15:chartTrackingRefBased/>
  <w15:docId w15:val="{DB036D5E-0329-4559-828F-83C9746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Klubock</dc:creator>
  <cp:keywords/>
  <dc:description/>
  <cp:lastModifiedBy>Katharine Klubock</cp:lastModifiedBy>
  <cp:revision>3</cp:revision>
  <dcterms:created xsi:type="dcterms:W3CDTF">2021-01-08T00:41:00Z</dcterms:created>
  <dcterms:modified xsi:type="dcterms:W3CDTF">2021-01-08T01:41:00Z</dcterms:modified>
</cp:coreProperties>
</file>