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3CA" w:rsidRPr="00E209A5" w:rsidRDefault="00144056" w:rsidP="00E209A5">
      <w:pPr>
        <w:pStyle w:val="xmsonormal"/>
        <w:shd w:val="clear" w:color="auto" w:fill="FFFFFF"/>
        <w:spacing w:before="0" w:beforeAutospacing="0" w:after="0" w:afterAutospacing="0"/>
        <w:jc w:val="center"/>
        <w:rPr>
          <w:b/>
          <w:color w:val="201F1E"/>
        </w:rPr>
      </w:pPr>
      <w:bookmarkStart w:id="0" w:name="_GoBack"/>
      <w:bookmarkEnd w:id="0"/>
      <w:r w:rsidRPr="00E209A5">
        <w:rPr>
          <w:b/>
          <w:color w:val="201F1E"/>
        </w:rPr>
        <w:t xml:space="preserve">PRACTICE </w:t>
      </w:r>
      <w:r w:rsidR="003D33CA" w:rsidRPr="00E209A5">
        <w:rPr>
          <w:b/>
          <w:color w:val="201F1E"/>
        </w:rPr>
        <w:t>TIPS</w:t>
      </w:r>
      <w:r w:rsidRPr="00E209A5">
        <w:rPr>
          <w:b/>
          <w:color w:val="201F1E"/>
        </w:rPr>
        <w:t xml:space="preserve"> </w:t>
      </w:r>
      <w:r w:rsidR="00E209A5" w:rsidRPr="00E209A5">
        <w:rPr>
          <w:b/>
          <w:color w:val="201F1E"/>
        </w:rPr>
        <w:t>FOR PANDE</w:t>
      </w:r>
      <w:r w:rsidR="00DC79D6">
        <w:rPr>
          <w:b/>
          <w:color w:val="201F1E"/>
        </w:rPr>
        <w:t>MIC RELIEF BILL OF DECEMBER 2020</w:t>
      </w:r>
    </w:p>
    <w:p w:rsidR="00E209A5" w:rsidRDefault="00E209A5" w:rsidP="00E209A5">
      <w:pPr>
        <w:pStyle w:val="xmsonormal"/>
        <w:shd w:val="clear" w:color="auto" w:fill="FFFFFF"/>
        <w:spacing w:before="0" w:beforeAutospacing="0" w:after="0" w:afterAutospacing="0"/>
        <w:jc w:val="center"/>
        <w:rPr>
          <w:b/>
          <w:color w:val="201F1E"/>
        </w:rPr>
      </w:pPr>
      <w:r w:rsidRPr="00E209A5">
        <w:rPr>
          <w:b/>
          <w:color w:val="201F1E"/>
        </w:rPr>
        <w:t>PROVISIONS CONCERNING TRANSITION AGE YOUTH</w:t>
      </w:r>
      <w:r>
        <w:rPr>
          <w:b/>
          <w:color w:val="201F1E"/>
        </w:rPr>
        <w:t>*</w:t>
      </w:r>
    </w:p>
    <w:p w:rsidR="00E209A5" w:rsidRDefault="00E209A5" w:rsidP="00E209A5">
      <w:pPr>
        <w:pStyle w:val="xmsonormal"/>
        <w:shd w:val="clear" w:color="auto" w:fill="FFFFFF"/>
        <w:spacing w:before="0" w:beforeAutospacing="0" w:after="0" w:afterAutospacing="0"/>
        <w:jc w:val="right"/>
        <w:rPr>
          <w:color w:val="201F1E"/>
        </w:rPr>
      </w:pPr>
    </w:p>
    <w:p w:rsidR="00E209A5" w:rsidRDefault="00E209A5" w:rsidP="00E209A5">
      <w:pPr>
        <w:pStyle w:val="xmsonormal"/>
        <w:shd w:val="clear" w:color="auto" w:fill="FFFFFF"/>
        <w:spacing w:before="0" w:beforeAutospacing="0" w:after="0" w:afterAutospacing="0"/>
        <w:jc w:val="right"/>
        <w:rPr>
          <w:color w:val="201F1E"/>
        </w:rPr>
      </w:pPr>
      <w:r>
        <w:rPr>
          <w:color w:val="201F1E"/>
        </w:rPr>
        <w:t>Deb Freitas, Esq.</w:t>
      </w:r>
    </w:p>
    <w:p w:rsidR="00E209A5" w:rsidRDefault="00E209A5" w:rsidP="00E209A5">
      <w:pPr>
        <w:pStyle w:val="xmsonormal"/>
        <w:shd w:val="clear" w:color="auto" w:fill="FFFFFF"/>
        <w:spacing w:before="0" w:beforeAutospacing="0" w:after="0" w:afterAutospacing="0"/>
        <w:jc w:val="right"/>
        <w:rPr>
          <w:color w:val="201F1E"/>
        </w:rPr>
      </w:pPr>
      <w:r>
        <w:rPr>
          <w:color w:val="201F1E"/>
        </w:rPr>
        <w:t>Cris Freitas, Esq.</w:t>
      </w:r>
    </w:p>
    <w:p w:rsidR="00E209A5" w:rsidRDefault="00E209A5" w:rsidP="00E209A5">
      <w:pPr>
        <w:pStyle w:val="xmsonormal"/>
        <w:shd w:val="clear" w:color="auto" w:fill="FFFFFF"/>
        <w:spacing w:before="0" w:beforeAutospacing="0" w:after="0" w:afterAutospacing="0"/>
        <w:jc w:val="right"/>
        <w:rPr>
          <w:color w:val="201F1E"/>
        </w:rPr>
      </w:pPr>
      <w:r>
        <w:rPr>
          <w:color w:val="201F1E"/>
        </w:rPr>
        <w:t>Freitas &amp; Freitas, LLP</w:t>
      </w:r>
    </w:p>
    <w:p w:rsidR="00E209A5" w:rsidRPr="00E209A5" w:rsidRDefault="00E209A5" w:rsidP="00E209A5">
      <w:pPr>
        <w:pStyle w:val="xmsonormal"/>
        <w:shd w:val="clear" w:color="auto" w:fill="FFFFFF"/>
        <w:spacing w:before="0" w:beforeAutospacing="0" w:after="0" w:afterAutospacing="0"/>
        <w:jc w:val="right"/>
        <w:rPr>
          <w:color w:val="201F1E"/>
        </w:rPr>
      </w:pPr>
      <w:r>
        <w:rPr>
          <w:color w:val="201F1E"/>
        </w:rPr>
        <w:t>CAFL COVID-19 Legal Response Team</w:t>
      </w:r>
    </w:p>
    <w:p w:rsidR="00E209A5" w:rsidRDefault="00E209A5" w:rsidP="00E209A5">
      <w:pPr>
        <w:pStyle w:val="xmsonormal"/>
        <w:shd w:val="clear" w:color="auto" w:fill="FFFFFF"/>
        <w:spacing w:before="0" w:beforeAutospacing="0" w:after="0" w:afterAutospacing="0"/>
        <w:jc w:val="center"/>
        <w:rPr>
          <w:color w:val="201F1E"/>
        </w:rPr>
      </w:pPr>
    </w:p>
    <w:p w:rsidR="00E209A5" w:rsidRDefault="00E209A5" w:rsidP="003D33CA">
      <w:pPr>
        <w:pStyle w:val="xmsonormal"/>
        <w:shd w:val="clear" w:color="auto" w:fill="FFFFFF"/>
        <w:spacing w:before="0" w:beforeAutospacing="0" w:after="0" w:afterAutospacing="0"/>
        <w:textAlignment w:val="baseline"/>
        <w:rPr>
          <w:rFonts w:ascii="Georgia" w:hAnsi="Georgia"/>
          <w:color w:val="201F1E"/>
          <w:shd w:val="clear" w:color="auto" w:fill="FFFFFF"/>
        </w:rPr>
      </w:pPr>
    </w:p>
    <w:p w:rsidR="003D33CA" w:rsidRDefault="003D33CA" w:rsidP="003D33CA">
      <w:pPr>
        <w:pStyle w:val="xmsonormal"/>
        <w:shd w:val="clear" w:color="auto" w:fill="FFFFFF"/>
        <w:spacing w:before="0" w:beforeAutospacing="0" w:after="0" w:afterAutospacing="0"/>
        <w:textAlignment w:val="baseline"/>
        <w:rPr>
          <w:color w:val="201F1E"/>
        </w:rPr>
      </w:pPr>
      <w:r>
        <w:rPr>
          <w:color w:val="201F1E"/>
        </w:rPr>
        <w:t>1. Keep track of your adolescent clients' dates of birth and determine if they will be aging out (18 or 22 years old) or have aged out during the relevant time period (April 1, 2020 to September 30, 2021). </w:t>
      </w:r>
    </w:p>
    <w:p w:rsidR="003D33CA" w:rsidRDefault="003D33CA" w:rsidP="003D33CA">
      <w:pPr>
        <w:pStyle w:val="xmsonormal"/>
        <w:shd w:val="clear" w:color="auto" w:fill="FFFFFF"/>
        <w:spacing w:before="0" w:beforeAutospacing="0" w:after="0" w:afterAutospacing="0"/>
        <w:textAlignment w:val="baseline"/>
        <w:rPr>
          <w:color w:val="201F1E"/>
        </w:rPr>
      </w:pPr>
      <w:r>
        <w:rPr>
          <w:color w:val="201F1E"/>
        </w:rPr>
        <w:t> </w:t>
      </w:r>
    </w:p>
    <w:p w:rsidR="003D33CA" w:rsidRDefault="003D33CA" w:rsidP="003D33CA">
      <w:pPr>
        <w:pStyle w:val="xmsonormal"/>
        <w:shd w:val="clear" w:color="auto" w:fill="FFFFFF"/>
        <w:spacing w:before="0" w:beforeAutospacing="0" w:after="0" w:afterAutospacing="0"/>
        <w:textAlignment w:val="baseline"/>
        <w:rPr>
          <w:color w:val="201F1E"/>
        </w:rPr>
      </w:pPr>
      <w:r>
        <w:rPr>
          <w:color w:val="201F1E"/>
        </w:rPr>
        <w:t>2. For any youth ages 18-22 that is currently in DCF care, the requirements to maintain full-time school or work are waived. If your client receives a case closure or YASP payment decrease notice based on failure to comply with these requirements, contact the DCF attorney immediately to discuss how the Act has changed that requirement and ask them to rescind the notice in writing. Next, consider contacting the DCF ombudsman about the issue to seek a resolution. Immediately file for a fair hearing to preserve your client's rights. Consider filing a Motion to Enjoin DCF in court to maintain the status quo until DCF can be educated about the effects of the Act. </w:t>
      </w:r>
    </w:p>
    <w:p w:rsidR="003D33CA" w:rsidRDefault="003D33CA" w:rsidP="003D33CA">
      <w:pPr>
        <w:pStyle w:val="xmsonormal"/>
        <w:shd w:val="clear" w:color="auto" w:fill="FFFFFF"/>
        <w:spacing w:before="0" w:beforeAutospacing="0" w:after="0" w:afterAutospacing="0"/>
        <w:textAlignment w:val="baseline"/>
        <w:rPr>
          <w:color w:val="201F1E"/>
        </w:rPr>
      </w:pPr>
      <w:r>
        <w:rPr>
          <w:color w:val="201F1E"/>
        </w:rPr>
        <w:t> </w:t>
      </w:r>
    </w:p>
    <w:p w:rsidR="003D33CA" w:rsidRDefault="003D33CA" w:rsidP="003D33CA">
      <w:pPr>
        <w:pStyle w:val="xmsonormal"/>
        <w:shd w:val="clear" w:color="auto" w:fill="FFFFFF"/>
        <w:spacing w:before="0" w:beforeAutospacing="0" w:after="0" w:afterAutospacing="0"/>
        <w:textAlignment w:val="baseline"/>
        <w:rPr>
          <w:color w:val="201F1E"/>
        </w:rPr>
      </w:pPr>
      <w:r>
        <w:rPr>
          <w:color w:val="201F1E"/>
        </w:rPr>
        <w:t>3. If your 18-22 year old client is enrolled in school but struggling, DCF has flexible funding that will allow them to fund less-than-full-time matriculation or other non-attendance costs that would help the youth remain enrolled. Be creative about what that might include--not just books, but maybe better internet for virtual classes, a tutor, or other things that DCF might not normally be allowed to provide that they can for this limited period.</w:t>
      </w:r>
    </w:p>
    <w:p w:rsidR="003D33CA" w:rsidRDefault="003D33CA" w:rsidP="003D33CA">
      <w:pPr>
        <w:pStyle w:val="xmsonormal"/>
        <w:shd w:val="clear" w:color="auto" w:fill="FFFFFF"/>
        <w:spacing w:before="0" w:beforeAutospacing="0" w:after="0" w:afterAutospacing="0"/>
        <w:textAlignment w:val="baseline"/>
        <w:rPr>
          <w:color w:val="201F1E"/>
        </w:rPr>
      </w:pPr>
      <w:r>
        <w:rPr>
          <w:color w:val="201F1E"/>
        </w:rPr>
        <w:t> </w:t>
      </w:r>
    </w:p>
    <w:p w:rsidR="003D33CA" w:rsidRDefault="003D33CA" w:rsidP="003D33CA">
      <w:pPr>
        <w:pStyle w:val="xmsonormal"/>
        <w:shd w:val="clear" w:color="auto" w:fill="FFFFFF"/>
        <w:spacing w:before="0" w:beforeAutospacing="0" w:after="0" w:afterAutospacing="0"/>
        <w:textAlignment w:val="baseline"/>
        <w:rPr>
          <w:color w:val="201F1E"/>
        </w:rPr>
      </w:pPr>
      <w:r>
        <w:rPr>
          <w:color w:val="201F1E"/>
        </w:rPr>
        <w:t>4. For foster youth who are 15 years old or older, DCF will now have up to $4,000 per child to help the youth obtain a driver's license and lawfully drive. That includes funds for driver's ed classes, testing fees, licensing fees, deductible assistance, vehicle insurance, and even automobile purchase assistance. Having a driver's license and access to a reliable car can lift burdens that restrict a youth's success in attending school or finding a job.</w:t>
      </w:r>
    </w:p>
    <w:p w:rsidR="003D33CA" w:rsidRDefault="003D33CA" w:rsidP="003D33CA">
      <w:pPr>
        <w:pStyle w:val="xmsonormal"/>
        <w:shd w:val="clear" w:color="auto" w:fill="FFFFFF"/>
        <w:spacing w:before="0" w:beforeAutospacing="0" w:after="0" w:afterAutospacing="0"/>
        <w:textAlignment w:val="baseline"/>
        <w:rPr>
          <w:color w:val="201F1E"/>
        </w:rPr>
      </w:pPr>
      <w:r>
        <w:rPr>
          <w:color w:val="201F1E"/>
        </w:rPr>
        <w:t> </w:t>
      </w:r>
    </w:p>
    <w:p w:rsidR="003D33CA" w:rsidRDefault="003D33CA" w:rsidP="003D33CA">
      <w:pPr>
        <w:pStyle w:val="xmsonormal"/>
        <w:shd w:val="clear" w:color="auto" w:fill="FFFFFF"/>
        <w:spacing w:before="0" w:beforeAutospacing="0" w:after="0" w:afterAutospacing="0"/>
        <w:textAlignment w:val="baseline"/>
        <w:rPr>
          <w:color w:val="201F1E"/>
        </w:rPr>
      </w:pPr>
      <w:r>
        <w:rPr>
          <w:color w:val="201F1E"/>
        </w:rPr>
        <w:t>5. Youth are currently eligible for foster care services until age 27 years old and DCF is receiving funding to offer youth in this age range room and board. However, there may still be age restrictions on program licensing, so to try to avoid unstabilizing your client's placement during the pandemic, contact the program and confirm that their license allows your client to stay there past their birthday. If it does not, begin a discussion about having the program request a waiver from their licensor to allow your client to stay there through the pandemic. This can take some time, so start this discussion as soon as possible.</w:t>
      </w:r>
    </w:p>
    <w:p w:rsidR="003D33CA" w:rsidRDefault="003D33CA" w:rsidP="003D33CA">
      <w:pPr>
        <w:pStyle w:val="xmsonormal"/>
        <w:shd w:val="clear" w:color="auto" w:fill="FFFFFF"/>
        <w:spacing w:before="0" w:beforeAutospacing="0" w:after="0" w:afterAutospacing="0"/>
        <w:textAlignment w:val="baseline"/>
        <w:rPr>
          <w:color w:val="201F1E"/>
        </w:rPr>
      </w:pPr>
      <w:r>
        <w:rPr>
          <w:color w:val="201F1E"/>
        </w:rPr>
        <w:t> </w:t>
      </w:r>
    </w:p>
    <w:p w:rsidR="003D33CA" w:rsidRDefault="003D33CA" w:rsidP="003D33CA">
      <w:pPr>
        <w:pStyle w:val="xmsonormal"/>
        <w:shd w:val="clear" w:color="auto" w:fill="FFFFFF"/>
        <w:spacing w:before="0" w:beforeAutospacing="0" w:after="0" w:afterAutospacing="0"/>
        <w:textAlignment w:val="baseline"/>
        <w:rPr>
          <w:color w:val="201F1E"/>
        </w:rPr>
      </w:pPr>
      <w:r>
        <w:rPr>
          <w:color w:val="201F1E"/>
        </w:rPr>
        <w:t xml:space="preserve">6. DCF is required to actively seek out and facilitate re-entry of foster kids who have aged out but have not yet attained 22 years of age. If your client aged out during the pandemic (beginning April 1, 2020), consider reaching out to let them know about this. If they wish to re-enter, </w:t>
      </w:r>
      <w:r>
        <w:rPr>
          <w:color w:val="201F1E"/>
        </w:rPr>
        <w:lastRenderedPageBreak/>
        <w:t>encourage them to put their request in writing to the DCF SW right away as they could be eligible for rental assistance, YASP payments, housing, or other assistance. </w:t>
      </w:r>
    </w:p>
    <w:p w:rsidR="003D33CA" w:rsidRDefault="003D33CA" w:rsidP="003D33CA">
      <w:pPr>
        <w:pStyle w:val="xmsonormal"/>
        <w:shd w:val="clear" w:color="auto" w:fill="FFFFFF"/>
        <w:spacing w:before="0" w:beforeAutospacing="0" w:after="0" w:afterAutospacing="0"/>
        <w:textAlignment w:val="baseline"/>
        <w:rPr>
          <w:color w:val="201F1E"/>
        </w:rPr>
      </w:pPr>
      <w:r>
        <w:rPr>
          <w:color w:val="201F1E"/>
        </w:rPr>
        <w:t> </w:t>
      </w:r>
    </w:p>
    <w:p w:rsidR="003D33CA" w:rsidRDefault="003D33CA" w:rsidP="003D33CA">
      <w:pPr>
        <w:pStyle w:val="xmsonormal"/>
        <w:shd w:val="clear" w:color="auto" w:fill="FFFFFF"/>
        <w:spacing w:before="0" w:beforeAutospacing="0" w:after="0" w:afterAutospacing="0"/>
        <w:textAlignment w:val="baseline"/>
        <w:rPr>
          <w:color w:val="201F1E"/>
        </w:rPr>
      </w:pPr>
      <w:r>
        <w:rPr>
          <w:color w:val="201F1E"/>
        </w:rPr>
        <w:t>7. The pandemic did not change DCF's mandate to follow all requirements related to permanency and to transition planning for transition-age youth. So, don't forget the DCF regulations and policies that require DCF to begin inclusive transition planning well in advance of your client's birthday.</w:t>
      </w:r>
    </w:p>
    <w:p w:rsidR="00B00D99" w:rsidRDefault="00B00D99"/>
    <w:p w:rsidR="00E209A5" w:rsidRPr="00AF2FCF" w:rsidRDefault="00E209A5" w:rsidP="00E209A5">
      <w:pPr>
        <w:pStyle w:val="xmsonormal"/>
        <w:shd w:val="clear" w:color="auto" w:fill="FFFFFF"/>
        <w:spacing w:before="0" w:beforeAutospacing="0" w:after="0" w:afterAutospacing="0"/>
        <w:textAlignment w:val="baseline"/>
        <w:rPr>
          <w:color w:val="201F1E"/>
        </w:rPr>
      </w:pPr>
      <w:r>
        <w:rPr>
          <w:color w:val="201F1E"/>
        </w:rPr>
        <w:t>*</w:t>
      </w:r>
      <w:r w:rsidRPr="00AF2FCF">
        <w:rPr>
          <w:color w:val="201F1E"/>
          <w:u w:val="single"/>
        </w:rPr>
        <w:t>NOTE</w:t>
      </w:r>
      <w:r w:rsidRPr="00AF2FCF">
        <w:rPr>
          <w:color w:val="201F1E"/>
        </w:rPr>
        <w:t>:  These tips refer to</w:t>
      </w:r>
      <w:r w:rsidRPr="00AF2FCF">
        <w:rPr>
          <w:color w:val="201F1E"/>
          <w:shd w:val="clear" w:color="auto" w:fill="FFFFFF"/>
        </w:rPr>
        <w:t xml:space="preserve"> relevant portions of the </w:t>
      </w:r>
      <w:r w:rsidRPr="00AF2FCF">
        <w:t>Consolidated Appropriations Act of 2021</w:t>
      </w:r>
      <w:r w:rsidRPr="00AF2FCF">
        <w:rPr>
          <w:color w:val="201F1E"/>
          <w:shd w:val="clear" w:color="auto" w:fill="FFFFFF"/>
        </w:rPr>
        <w:t xml:space="preserve"> that begin on page 3168 and go until 3178</w:t>
      </w:r>
      <w:r w:rsidRPr="00AF2FCF">
        <w:rPr>
          <w:color w:val="201F1E"/>
        </w:rPr>
        <w:t>.  The Bill can be found at:</w:t>
      </w:r>
    </w:p>
    <w:p w:rsidR="00E209A5" w:rsidRPr="00AF2FCF" w:rsidRDefault="00E40E6E" w:rsidP="00AF2FCF">
      <w:pPr>
        <w:pStyle w:val="xmsonormal"/>
        <w:shd w:val="clear" w:color="auto" w:fill="FFFFFF"/>
        <w:spacing w:before="0" w:beforeAutospacing="0" w:after="0" w:afterAutospacing="0"/>
        <w:textAlignment w:val="baseline"/>
        <w:rPr>
          <w:rFonts w:ascii="Georgia" w:hAnsi="Georgia"/>
          <w:color w:val="201F1E"/>
          <w:shd w:val="clear" w:color="auto" w:fill="FFFFFF"/>
        </w:rPr>
      </w:pPr>
      <w:hyperlink r:id="rId4" w:history="1">
        <w:r w:rsidR="00E209A5" w:rsidRPr="00AF2FCF">
          <w:rPr>
            <w:rStyle w:val="Hyperlink"/>
            <w:shd w:val="clear" w:color="auto" w:fill="FFFFFF"/>
          </w:rPr>
          <w:t>https://rules.house.gov/sites/democrats.rules.house.gov/files/BILLS-116HR133SA-RCP-116-68.pdf</w:t>
        </w:r>
      </w:hyperlink>
      <w:r w:rsidR="00E209A5" w:rsidRPr="00AF2FCF">
        <w:rPr>
          <w:color w:val="201F1E"/>
          <w:shd w:val="clear" w:color="auto" w:fill="FFFFFF"/>
        </w:rPr>
        <w:t xml:space="preserve">.  You can also find a summary of the relevant provisions provided by </w:t>
      </w:r>
      <w:r w:rsidR="00AF2FCF" w:rsidRPr="00AF2FCF">
        <w:rPr>
          <w:color w:val="201F1E"/>
          <w:shd w:val="clear" w:color="auto" w:fill="FFFFFF"/>
        </w:rPr>
        <w:t xml:space="preserve">the NACC and developed by the Juvenile Law Center and the Annie E. Casey Foundation on the CPCS CAFL  Page on </w:t>
      </w:r>
      <w:proofErr w:type="spellStart"/>
      <w:r w:rsidR="00AF2FCF" w:rsidRPr="00AF2FCF">
        <w:rPr>
          <w:color w:val="201F1E"/>
          <w:shd w:val="clear" w:color="auto" w:fill="FFFFFF"/>
        </w:rPr>
        <w:t>MyGideon</w:t>
      </w:r>
      <w:proofErr w:type="spellEnd"/>
      <w:r w:rsidR="00AF2FCF" w:rsidRPr="00AF2FCF">
        <w:rPr>
          <w:color w:val="201F1E"/>
          <w:shd w:val="clear" w:color="auto" w:fill="FFFFFF"/>
        </w:rPr>
        <w:t xml:space="preserve"> under </w:t>
      </w:r>
      <w:r w:rsidR="00480D68">
        <w:rPr>
          <w:color w:val="201F1E"/>
          <w:shd w:val="clear" w:color="auto" w:fill="FFFFFF"/>
        </w:rPr>
        <w:t xml:space="preserve">the heading </w:t>
      </w:r>
      <w:r w:rsidR="00AF2FCF" w:rsidRPr="00AF2FCF">
        <w:rPr>
          <w:color w:val="201F1E"/>
          <w:shd w:val="clear" w:color="auto" w:fill="FFFFFF"/>
        </w:rPr>
        <w:t xml:space="preserve">Young Adult: </w:t>
      </w:r>
      <w:hyperlink r:id="rId5" w:history="1">
        <w:r w:rsidR="00AF2FCF" w:rsidRPr="00AF2FCF">
          <w:rPr>
            <w:rStyle w:val="Hyperlink"/>
            <w:shd w:val="clear" w:color="auto" w:fill="FFFFFF"/>
          </w:rPr>
          <w:t>https://www.mygideon.org/Massachusetts_Committee_for_Public_Counsel_Services/CPCS_Children_and_Family_Law_Resources/CAFL_COVID-19_Resources</w:t>
        </w:r>
      </w:hyperlink>
      <w:r w:rsidR="00AF2FCF">
        <w:rPr>
          <w:rStyle w:val="Hyperlink"/>
          <w:rFonts w:ascii="Georgia" w:hAnsi="Georgia"/>
          <w:shd w:val="clear" w:color="auto" w:fill="FFFFFF"/>
        </w:rPr>
        <w:t>.</w:t>
      </w:r>
    </w:p>
    <w:sectPr w:rsidR="00E209A5" w:rsidRPr="00AF2FCF" w:rsidSect="003D33CA">
      <w:pgSz w:w="12240" w:h="15840"/>
      <w:pgMar w:top="1440" w:right="1440" w:bottom="1440" w:left="1440" w:header="720" w:footer="720" w:gutter="0"/>
      <w:pgBorders w:offsetFrom="page">
        <w:top w:val="single" w:sz="8" w:space="24" w:color="0070C0"/>
        <w:left w:val="single" w:sz="8" w:space="24" w:color="0070C0"/>
        <w:bottom w:val="single" w:sz="8" w:space="24" w:color="0070C0"/>
        <w:right w:val="single" w:sz="8"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CA"/>
    <w:rsid w:val="00144056"/>
    <w:rsid w:val="003C30C6"/>
    <w:rsid w:val="003D33CA"/>
    <w:rsid w:val="00480D68"/>
    <w:rsid w:val="00AF2FCF"/>
    <w:rsid w:val="00B00D99"/>
    <w:rsid w:val="00DC79D6"/>
    <w:rsid w:val="00E2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B3037-CD5D-48B2-9499-6287E1F3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D33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9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651885">
      <w:bodyDiv w:val="1"/>
      <w:marLeft w:val="0"/>
      <w:marRight w:val="0"/>
      <w:marTop w:val="0"/>
      <w:marBottom w:val="0"/>
      <w:divBdr>
        <w:top w:val="none" w:sz="0" w:space="0" w:color="auto"/>
        <w:left w:val="none" w:sz="0" w:space="0" w:color="auto"/>
        <w:bottom w:val="none" w:sz="0" w:space="0" w:color="auto"/>
        <w:right w:val="none" w:sz="0" w:space="0" w:color="auto"/>
      </w:divBdr>
      <w:divsChild>
        <w:div w:id="792014643">
          <w:marLeft w:val="0"/>
          <w:marRight w:val="0"/>
          <w:marTop w:val="0"/>
          <w:marBottom w:val="0"/>
          <w:divBdr>
            <w:top w:val="none" w:sz="0" w:space="0" w:color="auto"/>
            <w:left w:val="none" w:sz="0" w:space="0" w:color="auto"/>
            <w:bottom w:val="none" w:sz="0" w:space="0" w:color="auto"/>
            <w:right w:val="none" w:sz="0" w:space="0" w:color="auto"/>
          </w:divBdr>
          <w:divsChild>
            <w:div w:id="1475678976">
              <w:marLeft w:val="0"/>
              <w:marRight w:val="0"/>
              <w:marTop w:val="0"/>
              <w:marBottom w:val="0"/>
              <w:divBdr>
                <w:top w:val="none" w:sz="0" w:space="0" w:color="auto"/>
                <w:left w:val="none" w:sz="0" w:space="0" w:color="auto"/>
                <w:bottom w:val="none" w:sz="0" w:space="0" w:color="auto"/>
                <w:right w:val="none" w:sz="0" w:space="0" w:color="auto"/>
              </w:divBdr>
            </w:div>
            <w:div w:id="1656378872">
              <w:marLeft w:val="0"/>
              <w:marRight w:val="0"/>
              <w:marTop w:val="0"/>
              <w:marBottom w:val="0"/>
              <w:divBdr>
                <w:top w:val="none" w:sz="0" w:space="0" w:color="auto"/>
                <w:left w:val="none" w:sz="0" w:space="0" w:color="auto"/>
                <w:bottom w:val="none" w:sz="0" w:space="0" w:color="auto"/>
                <w:right w:val="none" w:sz="0" w:space="0" w:color="auto"/>
              </w:divBdr>
            </w:div>
            <w:div w:id="674846646">
              <w:marLeft w:val="0"/>
              <w:marRight w:val="0"/>
              <w:marTop w:val="0"/>
              <w:marBottom w:val="0"/>
              <w:divBdr>
                <w:top w:val="none" w:sz="0" w:space="0" w:color="auto"/>
                <w:left w:val="none" w:sz="0" w:space="0" w:color="auto"/>
                <w:bottom w:val="none" w:sz="0" w:space="0" w:color="auto"/>
                <w:right w:val="none" w:sz="0" w:space="0" w:color="auto"/>
              </w:divBdr>
            </w:div>
            <w:div w:id="2000034210">
              <w:marLeft w:val="0"/>
              <w:marRight w:val="0"/>
              <w:marTop w:val="0"/>
              <w:marBottom w:val="0"/>
              <w:divBdr>
                <w:top w:val="none" w:sz="0" w:space="0" w:color="auto"/>
                <w:left w:val="none" w:sz="0" w:space="0" w:color="auto"/>
                <w:bottom w:val="none" w:sz="0" w:space="0" w:color="auto"/>
                <w:right w:val="none" w:sz="0" w:space="0" w:color="auto"/>
              </w:divBdr>
            </w:div>
            <w:div w:id="2025595056">
              <w:marLeft w:val="0"/>
              <w:marRight w:val="0"/>
              <w:marTop w:val="0"/>
              <w:marBottom w:val="0"/>
              <w:divBdr>
                <w:top w:val="none" w:sz="0" w:space="0" w:color="auto"/>
                <w:left w:val="none" w:sz="0" w:space="0" w:color="auto"/>
                <w:bottom w:val="none" w:sz="0" w:space="0" w:color="auto"/>
                <w:right w:val="none" w:sz="0" w:space="0" w:color="auto"/>
              </w:divBdr>
            </w:div>
            <w:div w:id="408618186">
              <w:marLeft w:val="0"/>
              <w:marRight w:val="0"/>
              <w:marTop w:val="0"/>
              <w:marBottom w:val="0"/>
              <w:divBdr>
                <w:top w:val="none" w:sz="0" w:space="0" w:color="auto"/>
                <w:left w:val="none" w:sz="0" w:space="0" w:color="auto"/>
                <w:bottom w:val="none" w:sz="0" w:space="0" w:color="auto"/>
                <w:right w:val="none" w:sz="0" w:space="0" w:color="auto"/>
              </w:divBdr>
            </w:div>
            <w:div w:id="1270621830">
              <w:marLeft w:val="0"/>
              <w:marRight w:val="0"/>
              <w:marTop w:val="0"/>
              <w:marBottom w:val="0"/>
              <w:divBdr>
                <w:top w:val="none" w:sz="0" w:space="0" w:color="auto"/>
                <w:left w:val="none" w:sz="0" w:space="0" w:color="auto"/>
                <w:bottom w:val="none" w:sz="0" w:space="0" w:color="auto"/>
                <w:right w:val="none" w:sz="0" w:space="0" w:color="auto"/>
              </w:divBdr>
            </w:div>
            <w:div w:id="95054319">
              <w:marLeft w:val="0"/>
              <w:marRight w:val="0"/>
              <w:marTop w:val="0"/>
              <w:marBottom w:val="0"/>
              <w:divBdr>
                <w:top w:val="none" w:sz="0" w:space="0" w:color="auto"/>
                <w:left w:val="none" w:sz="0" w:space="0" w:color="auto"/>
                <w:bottom w:val="none" w:sz="0" w:space="0" w:color="auto"/>
                <w:right w:val="none" w:sz="0" w:space="0" w:color="auto"/>
              </w:divBdr>
            </w:div>
            <w:div w:id="238563453">
              <w:marLeft w:val="0"/>
              <w:marRight w:val="0"/>
              <w:marTop w:val="0"/>
              <w:marBottom w:val="0"/>
              <w:divBdr>
                <w:top w:val="none" w:sz="0" w:space="0" w:color="auto"/>
                <w:left w:val="none" w:sz="0" w:space="0" w:color="auto"/>
                <w:bottom w:val="none" w:sz="0" w:space="0" w:color="auto"/>
                <w:right w:val="none" w:sz="0" w:space="0" w:color="auto"/>
              </w:divBdr>
            </w:div>
            <w:div w:id="1066758305">
              <w:marLeft w:val="0"/>
              <w:marRight w:val="0"/>
              <w:marTop w:val="0"/>
              <w:marBottom w:val="0"/>
              <w:divBdr>
                <w:top w:val="none" w:sz="0" w:space="0" w:color="auto"/>
                <w:left w:val="none" w:sz="0" w:space="0" w:color="auto"/>
                <w:bottom w:val="none" w:sz="0" w:space="0" w:color="auto"/>
                <w:right w:val="none" w:sz="0" w:space="0" w:color="auto"/>
              </w:divBdr>
            </w:div>
            <w:div w:id="1946185213">
              <w:marLeft w:val="0"/>
              <w:marRight w:val="0"/>
              <w:marTop w:val="0"/>
              <w:marBottom w:val="0"/>
              <w:divBdr>
                <w:top w:val="none" w:sz="0" w:space="0" w:color="auto"/>
                <w:left w:val="none" w:sz="0" w:space="0" w:color="auto"/>
                <w:bottom w:val="none" w:sz="0" w:space="0" w:color="auto"/>
                <w:right w:val="none" w:sz="0" w:space="0" w:color="auto"/>
              </w:divBdr>
            </w:div>
            <w:div w:id="6606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ygideon.org/Massachusetts_Committee_for_Public_Counsel_Services/CPCS_Children_and_Family_Law_Resources/CAFL_COVID-19_Resources" TargetMode="External"/><Relationship Id="rId4" Type="http://schemas.openxmlformats.org/officeDocument/2006/relationships/hyperlink" Target="https://rules.house.gov/sites/democrats.rules.house.gov/files/BILLS-116HR133SA-RCP-116-6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Klubock</dc:creator>
  <cp:keywords/>
  <dc:description/>
  <cp:lastModifiedBy>Amy Karp</cp:lastModifiedBy>
  <cp:revision>2</cp:revision>
  <dcterms:created xsi:type="dcterms:W3CDTF">2021-01-29T16:21:00Z</dcterms:created>
  <dcterms:modified xsi:type="dcterms:W3CDTF">2021-01-29T16:21:00Z</dcterms:modified>
</cp:coreProperties>
</file>