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53" w:rsidRPr="00291A2E" w:rsidRDefault="00933953" w:rsidP="00933953">
      <w:pPr>
        <w:jc w:val="center"/>
        <w:rPr>
          <w:b/>
          <w:i/>
          <w:sz w:val="24"/>
          <w:szCs w:val="24"/>
        </w:rPr>
      </w:pPr>
      <w:r w:rsidRPr="00291A2E">
        <w:rPr>
          <w:b/>
          <w:i/>
          <w:sz w:val="24"/>
          <w:szCs w:val="24"/>
        </w:rPr>
        <w:t>[Please note:  This is a memorandum by a law student intern.  It is intended to jump-start your own research.  We have not Shepardized the cases or determined that the student’s analysis of the cases or other sources is correct.]</w:t>
      </w:r>
    </w:p>
    <w:p w:rsidR="00933953" w:rsidRDefault="00933953" w:rsidP="00FD3AE5">
      <w:pPr>
        <w:pStyle w:val="NormalWeb"/>
        <w:spacing w:before="0" w:beforeAutospacing="0" w:after="200" w:afterAutospacing="0"/>
        <w:jc w:val="center"/>
        <w:rPr>
          <w:b/>
          <w:bCs/>
          <w:color w:val="000000"/>
        </w:rPr>
      </w:pPr>
      <w:bookmarkStart w:id="0" w:name="_GoBack"/>
      <w:bookmarkEnd w:id="0"/>
    </w:p>
    <w:p w:rsidR="00FD3AE5" w:rsidRDefault="00FD3AE5" w:rsidP="00FD3AE5">
      <w:pPr>
        <w:pStyle w:val="NormalWeb"/>
        <w:spacing w:before="0" w:beforeAutospacing="0" w:after="200" w:afterAutospacing="0"/>
        <w:jc w:val="center"/>
      </w:pPr>
      <w:r>
        <w:rPr>
          <w:b/>
          <w:bCs/>
          <w:color w:val="000000"/>
        </w:rPr>
        <w:t>Memorandum</w:t>
      </w:r>
    </w:p>
    <w:p w:rsidR="00FD3AE5" w:rsidRDefault="00FD3AE5" w:rsidP="00FD3AE5">
      <w:pPr>
        <w:pStyle w:val="NormalWeb"/>
        <w:spacing w:before="0" w:beforeAutospacing="0" w:after="200" w:afterAutospacing="0"/>
      </w:pPr>
      <w:r>
        <w:rPr>
          <w:color w:val="000000"/>
        </w:rPr>
        <w:t xml:space="preserve">To: </w:t>
      </w:r>
      <w:r w:rsidR="001D5EC6">
        <w:rPr>
          <w:color w:val="000000"/>
        </w:rPr>
        <w:tab/>
      </w:r>
      <w:r w:rsidR="00933953">
        <w:rPr>
          <w:color w:val="000000"/>
        </w:rPr>
        <w:t>CAFL Appellate Panel Support Unit</w:t>
      </w:r>
    </w:p>
    <w:p w:rsidR="00FD3AE5" w:rsidRDefault="00FD3AE5" w:rsidP="00FD3AE5">
      <w:pPr>
        <w:pStyle w:val="NormalWeb"/>
        <w:spacing w:before="0" w:beforeAutospacing="0" w:after="200" w:afterAutospacing="0"/>
      </w:pPr>
      <w:r>
        <w:rPr>
          <w:color w:val="000000"/>
        </w:rPr>
        <w:t xml:space="preserve">From: </w:t>
      </w:r>
      <w:r w:rsidR="001D5EC6">
        <w:rPr>
          <w:color w:val="000000"/>
        </w:rPr>
        <w:tab/>
      </w:r>
      <w:r w:rsidR="00933953">
        <w:rPr>
          <w:color w:val="000000"/>
        </w:rPr>
        <w:t>Law Student Intern (MS)</w:t>
      </w:r>
    </w:p>
    <w:p w:rsidR="00FD3AE5" w:rsidRDefault="00FD3AE5" w:rsidP="00FD3AE5">
      <w:pPr>
        <w:pStyle w:val="NormalWeb"/>
        <w:spacing w:before="0" w:beforeAutospacing="0" w:after="200" w:afterAutospacing="0"/>
      </w:pPr>
      <w:r>
        <w:rPr>
          <w:color w:val="000000"/>
        </w:rPr>
        <w:t>Re:</w:t>
      </w:r>
      <w:r w:rsidR="001D5EC6">
        <w:rPr>
          <w:color w:val="000000"/>
        </w:rPr>
        <w:tab/>
      </w:r>
      <w:r>
        <w:rPr>
          <w:color w:val="000000"/>
        </w:rPr>
        <w:t>Ineffective Assistance of Counsel—Conceding Unfitness against Client’s Wishes</w:t>
      </w:r>
    </w:p>
    <w:p w:rsidR="001D5EC6" w:rsidRPr="00064F98" w:rsidRDefault="00D572F6" w:rsidP="00064F98">
      <w:pPr>
        <w:pStyle w:val="NormalWeb"/>
        <w:pBdr>
          <w:bottom w:val="single" w:sz="12" w:space="1" w:color="auto"/>
        </w:pBdr>
        <w:spacing w:before="0" w:beforeAutospacing="0" w:after="200" w:afterAutospacing="0"/>
        <w:rPr>
          <w:color w:val="000000"/>
        </w:rPr>
      </w:pPr>
      <w:r>
        <w:rPr>
          <w:color w:val="000000"/>
        </w:rPr>
        <w:t xml:space="preserve">Date: </w:t>
      </w:r>
      <w:r>
        <w:rPr>
          <w:color w:val="000000"/>
        </w:rPr>
        <w:tab/>
        <w:t>July 30</w:t>
      </w:r>
      <w:r w:rsidR="001D5EC6">
        <w:rPr>
          <w:color w:val="000000"/>
        </w:rPr>
        <w:t>, 2018</w:t>
      </w:r>
    </w:p>
    <w:p w:rsidR="00914E69" w:rsidRDefault="00914E69" w:rsidP="00914E69">
      <w:pPr>
        <w:pStyle w:val="NormalWeb"/>
        <w:spacing w:before="0" w:beforeAutospacing="0" w:after="200" w:afterAutospacing="0"/>
        <w:rPr>
          <w:b/>
          <w:bCs/>
          <w:color w:val="000000"/>
        </w:rPr>
      </w:pPr>
    </w:p>
    <w:p w:rsidR="00FD3AE5" w:rsidRDefault="00FD3AE5" w:rsidP="005873C1">
      <w:pPr>
        <w:pStyle w:val="NormalWeb"/>
        <w:spacing w:before="0" w:beforeAutospacing="0" w:after="200" w:afterAutospacing="0" w:line="480" w:lineRule="auto"/>
      </w:pPr>
      <w:r>
        <w:rPr>
          <w:b/>
          <w:bCs/>
          <w:color w:val="000000"/>
        </w:rPr>
        <w:t>Questions Presented:</w:t>
      </w:r>
    </w:p>
    <w:p w:rsidR="00FD3AE5" w:rsidRDefault="00741983" w:rsidP="00FD3AE5">
      <w:pPr>
        <w:pStyle w:val="NormalWeb"/>
        <w:spacing w:before="0" w:beforeAutospacing="0" w:after="200" w:afterAutospacing="0" w:line="480" w:lineRule="auto"/>
      </w:pPr>
      <w:r>
        <w:rPr>
          <w:color w:val="000000"/>
        </w:rPr>
        <w:t>1. Does</w:t>
      </w:r>
      <w:r w:rsidR="00FD3AE5">
        <w:rPr>
          <w:color w:val="000000"/>
        </w:rPr>
        <w:t xml:space="preserve"> t</w:t>
      </w:r>
      <w:r w:rsidR="00B31420">
        <w:rPr>
          <w:color w:val="000000"/>
        </w:rPr>
        <w:t>rial counsel’s concession of Father’s</w:t>
      </w:r>
      <w:r w:rsidR="00FD3AE5">
        <w:rPr>
          <w:color w:val="000000"/>
        </w:rPr>
        <w:t xml:space="preserve"> unfitness against his wishes </w:t>
      </w:r>
      <w:r w:rsidR="000715E1">
        <w:rPr>
          <w:color w:val="000000"/>
        </w:rPr>
        <w:t>constitute ineffective assistance of counsel and therefore require a new trial only upon a finding of prejudice?</w:t>
      </w:r>
      <w:r w:rsidR="00FD3AE5">
        <w:rPr>
          <w:color w:val="000000"/>
        </w:rPr>
        <w:t xml:space="preserve"> </w:t>
      </w:r>
    </w:p>
    <w:p w:rsidR="00FD3AE5" w:rsidRDefault="00FD3AE5" w:rsidP="00FD3AE5">
      <w:pPr>
        <w:pStyle w:val="NormalWeb"/>
        <w:spacing w:before="0" w:beforeAutospacing="0" w:after="200" w:afterAutospacing="0" w:line="480" w:lineRule="auto"/>
      </w:pPr>
      <w:r>
        <w:rPr>
          <w:color w:val="000000"/>
        </w:rPr>
        <w:t xml:space="preserve">2. Does such concession constitute </w:t>
      </w:r>
      <w:r w:rsidR="000715E1">
        <w:rPr>
          <w:color w:val="000000"/>
        </w:rPr>
        <w:t>constructive denial of the right to counsel and thus require the automatic granting of a new trial?</w:t>
      </w:r>
    </w:p>
    <w:p w:rsidR="00FD3AE5" w:rsidRDefault="005F6C1F" w:rsidP="005873C1">
      <w:pPr>
        <w:pStyle w:val="NormalWeb"/>
        <w:spacing w:before="0" w:beforeAutospacing="0" w:after="200" w:afterAutospacing="0" w:line="480" w:lineRule="auto"/>
        <w:rPr>
          <w:b/>
          <w:bCs/>
          <w:color w:val="000000"/>
        </w:rPr>
      </w:pPr>
      <w:r>
        <w:rPr>
          <w:b/>
          <w:bCs/>
          <w:color w:val="000000"/>
        </w:rPr>
        <w:t xml:space="preserve">Brief Answers: </w:t>
      </w:r>
    </w:p>
    <w:p w:rsidR="000715E1" w:rsidRPr="0015794C" w:rsidRDefault="006A61E1" w:rsidP="000715E1">
      <w:pPr>
        <w:pStyle w:val="NormalWeb"/>
        <w:spacing w:before="0" w:beforeAutospacing="0" w:after="200" w:afterAutospacing="0" w:line="480" w:lineRule="auto"/>
        <w:textAlignment w:val="baseline"/>
        <w:rPr>
          <w:b/>
          <w:bCs/>
          <w:color w:val="000000"/>
        </w:rPr>
      </w:pPr>
      <w:r w:rsidRPr="006A61E1">
        <w:rPr>
          <w:color w:val="000000"/>
        </w:rPr>
        <w:t>1.</w:t>
      </w:r>
      <w:r w:rsidR="000715E1" w:rsidRPr="000715E1">
        <w:rPr>
          <w:color w:val="000000"/>
        </w:rPr>
        <w:t xml:space="preserve"> </w:t>
      </w:r>
      <w:r w:rsidR="00BE2D37">
        <w:rPr>
          <w:color w:val="000000"/>
        </w:rPr>
        <w:t>In this case, t</w:t>
      </w:r>
      <w:r w:rsidR="000715E1">
        <w:rPr>
          <w:color w:val="000000"/>
        </w:rPr>
        <w:t xml:space="preserve">rial counsel’s unauthorized concession of Father’s unfitness likely does not constitute ineffective assistance of counsel. </w:t>
      </w:r>
      <w:r w:rsidR="00BE2D37">
        <w:rPr>
          <w:color w:val="000000"/>
        </w:rPr>
        <w:t xml:space="preserve">Trial counsel’s failure to mount any defense to DCF’s unfitness allegations is clearly conduct that falls below that expected of an ordinary fallible lawyer, the first prong of the </w:t>
      </w:r>
      <w:r w:rsidR="00BE2D37" w:rsidRPr="00BE2D37">
        <w:rPr>
          <w:color w:val="000000"/>
          <w:u w:val="single"/>
        </w:rPr>
        <w:t>Saferian</w:t>
      </w:r>
      <w:r w:rsidR="00BE2D37">
        <w:rPr>
          <w:color w:val="000000"/>
        </w:rPr>
        <w:t>/</w:t>
      </w:r>
      <w:r w:rsidR="00BE2D37" w:rsidRPr="00BE2D37">
        <w:rPr>
          <w:color w:val="000000"/>
          <w:u w:val="single"/>
        </w:rPr>
        <w:t xml:space="preserve">Georgette </w:t>
      </w:r>
      <w:r w:rsidR="00BE2D37">
        <w:rPr>
          <w:color w:val="000000"/>
        </w:rPr>
        <w:t>test. But, g</w:t>
      </w:r>
      <w:r w:rsidR="000715E1" w:rsidRPr="00BE2D37">
        <w:rPr>
          <w:color w:val="000000"/>
        </w:rPr>
        <w:t>iven</w:t>
      </w:r>
      <w:r w:rsidR="00BE2D37">
        <w:rPr>
          <w:color w:val="000000"/>
        </w:rPr>
        <w:t xml:space="preserve"> DCF’s overwhelming</w:t>
      </w:r>
      <w:r w:rsidR="000715E1">
        <w:rPr>
          <w:color w:val="000000"/>
        </w:rPr>
        <w:t xml:space="preserve"> evidence against Father</w:t>
      </w:r>
      <w:r w:rsidR="00BE2D37">
        <w:rPr>
          <w:color w:val="000000"/>
        </w:rPr>
        <w:t xml:space="preserve">—and our inability, as appellate counsel, to find and proffer evidence that would rebut that overwhelming evidence—it is impossible for Father to satisfy the “prejudice” prong of the </w:t>
      </w:r>
      <w:r w:rsidR="00BE2D37">
        <w:rPr>
          <w:color w:val="000000"/>
          <w:u w:val="single"/>
        </w:rPr>
        <w:t>Saferian</w:t>
      </w:r>
      <w:r w:rsidR="00BE2D37">
        <w:rPr>
          <w:color w:val="000000"/>
        </w:rPr>
        <w:t>/</w:t>
      </w:r>
      <w:r w:rsidR="00BE2D37">
        <w:rPr>
          <w:color w:val="000000"/>
          <w:u w:val="single"/>
        </w:rPr>
        <w:t>Georgette</w:t>
      </w:r>
      <w:r w:rsidR="00BE2D37">
        <w:rPr>
          <w:color w:val="000000"/>
        </w:rPr>
        <w:t xml:space="preserve"> test. Therefore, Father probably cannot show </w:t>
      </w:r>
      <w:r w:rsidR="000715E1">
        <w:rPr>
          <w:color w:val="000000"/>
        </w:rPr>
        <w:t xml:space="preserve">ineffective assistance of counsel.  </w:t>
      </w:r>
    </w:p>
    <w:p w:rsidR="006A61E1" w:rsidRPr="000715E1" w:rsidRDefault="006A61E1" w:rsidP="0015794C">
      <w:pPr>
        <w:pStyle w:val="NormalWeb"/>
        <w:spacing w:before="0" w:beforeAutospacing="0" w:after="200" w:afterAutospacing="0" w:line="480" w:lineRule="auto"/>
        <w:textAlignment w:val="baseline"/>
        <w:rPr>
          <w:color w:val="000000"/>
        </w:rPr>
      </w:pPr>
      <w:r>
        <w:rPr>
          <w:color w:val="000000"/>
        </w:rPr>
        <w:t xml:space="preserve">2. </w:t>
      </w:r>
      <w:r w:rsidR="000715E1">
        <w:rPr>
          <w:color w:val="000000"/>
        </w:rPr>
        <w:t xml:space="preserve">Trial counsel’s </w:t>
      </w:r>
      <w:r w:rsidR="0001655A">
        <w:rPr>
          <w:color w:val="000000"/>
        </w:rPr>
        <w:t xml:space="preserve">unauthorized </w:t>
      </w:r>
      <w:r w:rsidR="000715E1">
        <w:rPr>
          <w:color w:val="000000"/>
        </w:rPr>
        <w:t>concession of Father’s unfitness</w:t>
      </w:r>
      <w:r w:rsidR="000834BF">
        <w:rPr>
          <w:color w:val="000000"/>
        </w:rPr>
        <w:t xml:space="preserve"> may constitute</w:t>
      </w:r>
      <w:r w:rsidR="0001655A">
        <w:rPr>
          <w:color w:val="000000"/>
        </w:rPr>
        <w:t xml:space="preserve"> constructive</w:t>
      </w:r>
      <w:r w:rsidR="000715E1">
        <w:rPr>
          <w:color w:val="000000"/>
        </w:rPr>
        <w:t xml:space="preserve"> denial of the right to counsel following the recent Supreme Court decision in </w:t>
      </w:r>
      <w:r w:rsidR="000715E1">
        <w:rPr>
          <w:color w:val="000000"/>
          <w:u w:val="single"/>
        </w:rPr>
        <w:t xml:space="preserve">McCoy v. </w:t>
      </w:r>
      <w:r w:rsidR="000715E1" w:rsidRPr="00110520">
        <w:rPr>
          <w:color w:val="000000"/>
          <w:u w:val="single"/>
        </w:rPr>
        <w:lastRenderedPageBreak/>
        <w:t>Louisiana</w:t>
      </w:r>
      <w:r w:rsidR="000715E1">
        <w:rPr>
          <w:color w:val="000000"/>
        </w:rPr>
        <w:t>, 200 L. Ed. 2d 821, 827 (2018). By conceding unfitness,</w:t>
      </w:r>
      <w:r w:rsidR="0001655A">
        <w:rPr>
          <w:color w:val="000000"/>
        </w:rPr>
        <w:t xml:space="preserve"> trial counsel conceded the most important</w:t>
      </w:r>
      <w:r w:rsidR="000715E1">
        <w:rPr>
          <w:color w:val="000000"/>
        </w:rPr>
        <w:t xml:space="preserve"> factual issue in dispute at trial and therefore failed to provide a meaningful</w:t>
      </w:r>
      <w:r w:rsidR="00914E69">
        <w:rPr>
          <w:color w:val="000000"/>
        </w:rPr>
        <w:t xml:space="preserve"> adversarial test to DCF’s case</w:t>
      </w:r>
      <w:r w:rsidR="000834BF">
        <w:rPr>
          <w:color w:val="000000"/>
        </w:rPr>
        <w:t xml:space="preserve"> against Father. </w:t>
      </w:r>
      <w:r w:rsidR="00EB6179">
        <w:rPr>
          <w:color w:val="000000"/>
        </w:rPr>
        <w:t>T</w:t>
      </w:r>
      <w:r w:rsidR="000715E1">
        <w:rPr>
          <w:color w:val="000000"/>
        </w:rPr>
        <w:t>rial counsel’s unauthorized concession of unfitness</w:t>
      </w:r>
      <w:r w:rsidR="00685864">
        <w:rPr>
          <w:color w:val="000000"/>
        </w:rPr>
        <w:t xml:space="preserve"> likely</w:t>
      </w:r>
      <w:r w:rsidR="000715E1">
        <w:rPr>
          <w:color w:val="000000"/>
        </w:rPr>
        <w:t xml:space="preserve"> constitutes constructive denial of counsel. </w:t>
      </w:r>
    </w:p>
    <w:p w:rsidR="00FD3AE5" w:rsidRDefault="00FD3AE5" w:rsidP="005873C1">
      <w:pPr>
        <w:pStyle w:val="NormalWeb"/>
        <w:spacing w:before="0" w:beforeAutospacing="0" w:after="200" w:afterAutospacing="0" w:line="480" w:lineRule="auto"/>
      </w:pPr>
      <w:r>
        <w:rPr>
          <w:b/>
          <w:bCs/>
          <w:color w:val="000000"/>
        </w:rPr>
        <w:t>Facts:</w:t>
      </w:r>
    </w:p>
    <w:p w:rsidR="00FD3AE5" w:rsidRDefault="00FD3AE5" w:rsidP="00FD3AE5">
      <w:pPr>
        <w:pStyle w:val="NormalWeb"/>
        <w:spacing w:before="0" w:beforeAutospacing="0" w:after="200" w:afterAutospacing="0" w:line="480" w:lineRule="auto"/>
        <w:ind w:firstLine="720"/>
      </w:pPr>
      <w:r>
        <w:rPr>
          <w:color w:val="000000"/>
        </w:rPr>
        <w:t xml:space="preserve">Emily Doe (“Child”), d/o/b 6/13/2013, was removed from the custody of her father, Joseph Doe (“Father”), at a preliminary hearing on June 14, 2017. Father met with his attorney </w:t>
      </w:r>
      <w:r w:rsidR="005F6C1F">
        <w:rPr>
          <w:color w:val="000000"/>
        </w:rPr>
        <w:t xml:space="preserve">on several occasions leading </w:t>
      </w:r>
      <w:r>
        <w:rPr>
          <w:color w:val="000000"/>
        </w:rPr>
        <w:t>to trial. During this time, he asserted adamantly</w:t>
      </w:r>
      <w:r w:rsidR="005F6C1F">
        <w:rPr>
          <w:color w:val="000000"/>
        </w:rPr>
        <w:t xml:space="preserve"> that he wished to challenge DCF’s</w:t>
      </w:r>
      <w:r>
        <w:rPr>
          <w:color w:val="000000"/>
        </w:rPr>
        <w:t xml:space="preserve"> allegation of unfitness</w:t>
      </w:r>
      <w:r w:rsidR="00741983">
        <w:rPr>
          <w:color w:val="000000"/>
        </w:rPr>
        <w:t xml:space="preserve">. He also wished to challenge whether termination served </w:t>
      </w:r>
      <w:r>
        <w:rPr>
          <w:color w:val="000000"/>
        </w:rPr>
        <w:t>the child’s best interest</w:t>
      </w:r>
      <w:r w:rsidR="00741983">
        <w:rPr>
          <w:color w:val="000000"/>
        </w:rPr>
        <w:t>s</w:t>
      </w:r>
      <w:r>
        <w:rPr>
          <w:color w:val="000000"/>
        </w:rPr>
        <w:t xml:space="preserve">. </w:t>
      </w:r>
      <w:r w:rsidR="00741983">
        <w:rPr>
          <w:color w:val="000000"/>
        </w:rPr>
        <w:t xml:space="preserve">Father lacks stable housing, </w:t>
      </w:r>
      <w:r w:rsidR="00E34A44">
        <w:rPr>
          <w:color w:val="000000"/>
        </w:rPr>
        <w:t xml:space="preserve">has been homeless </w:t>
      </w:r>
      <w:r w:rsidR="00741983">
        <w:rPr>
          <w:color w:val="000000"/>
        </w:rPr>
        <w:t xml:space="preserve">since September 2015, and has a </w:t>
      </w:r>
      <w:r w:rsidR="00171A27">
        <w:rPr>
          <w:color w:val="000000"/>
        </w:rPr>
        <w:t>history of substance abuse and domestic violence.</w:t>
      </w:r>
      <w:r>
        <w:rPr>
          <w:color w:val="000000"/>
        </w:rPr>
        <w:t xml:space="preserve"> </w:t>
      </w:r>
      <w:r w:rsidR="00C20DCF">
        <w:rPr>
          <w:color w:val="000000"/>
        </w:rPr>
        <w:t>Father has never participated in an extended treatment program</w:t>
      </w:r>
      <w:r w:rsidR="0001655A">
        <w:rPr>
          <w:color w:val="000000"/>
        </w:rPr>
        <w:t>, has never given DCF drug screens,</w:t>
      </w:r>
      <w:r w:rsidR="00C20DCF">
        <w:rPr>
          <w:color w:val="000000"/>
        </w:rPr>
        <w:t xml:space="preserve"> and has be</w:t>
      </w:r>
      <w:r w:rsidR="008C7DF4">
        <w:rPr>
          <w:color w:val="000000"/>
        </w:rPr>
        <w:t>en unwilling to admit</w:t>
      </w:r>
      <w:r w:rsidR="00C20DCF">
        <w:rPr>
          <w:color w:val="000000"/>
        </w:rPr>
        <w:t xml:space="preserve"> that he has a problem with drugs</w:t>
      </w:r>
      <w:r w:rsidR="00171A27">
        <w:rPr>
          <w:color w:val="000000"/>
        </w:rPr>
        <w:t xml:space="preserve"> or domestic violence</w:t>
      </w:r>
      <w:r w:rsidR="00C20DCF">
        <w:rPr>
          <w:color w:val="000000"/>
        </w:rPr>
        <w:t xml:space="preserve">. </w:t>
      </w:r>
      <w:r>
        <w:rPr>
          <w:color w:val="000000"/>
        </w:rPr>
        <w:t>During opening statements at trial, Fath</w:t>
      </w:r>
      <w:r w:rsidR="00304ADF">
        <w:rPr>
          <w:color w:val="000000"/>
        </w:rPr>
        <w:t xml:space="preserve">er’s counsel conceded unfitness. </w:t>
      </w:r>
      <w:r w:rsidR="00741983">
        <w:rPr>
          <w:color w:val="000000"/>
        </w:rPr>
        <w:t xml:space="preserve">At trial, he offered no evidence to </w:t>
      </w:r>
      <w:r w:rsidR="00304ADF">
        <w:rPr>
          <w:color w:val="000000"/>
        </w:rPr>
        <w:t xml:space="preserve">contest DCF’s </w:t>
      </w:r>
      <w:r w:rsidR="0001655A">
        <w:rPr>
          <w:color w:val="000000"/>
        </w:rPr>
        <w:t>case on unfitness and focused, instead,</w:t>
      </w:r>
      <w:r w:rsidR="00741983">
        <w:rPr>
          <w:color w:val="000000"/>
        </w:rPr>
        <w:t xml:space="preserve"> only on whether termination se</w:t>
      </w:r>
      <w:r w:rsidR="00304ADF">
        <w:rPr>
          <w:color w:val="000000"/>
        </w:rPr>
        <w:t>rved the child’s best</w:t>
      </w:r>
      <w:r w:rsidR="00EB6179">
        <w:rPr>
          <w:color w:val="000000"/>
        </w:rPr>
        <w:t xml:space="preserve"> interests</w:t>
      </w:r>
      <w:r w:rsidR="00304ADF">
        <w:rPr>
          <w:color w:val="000000"/>
        </w:rPr>
        <w:t xml:space="preserve">. </w:t>
      </w:r>
      <w:r w:rsidR="00741983">
        <w:rPr>
          <w:color w:val="000000"/>
        </w:rPr>
        <w:t>The judge terminated Father’s parental rights</w:t>
      </w:r>
      <w:r w:rsidR="0001655A">
        <w:rPr>
          <w:color w:val="000000"/>
        </w:rPr>
        <w:t>,</w:t>
      </w:r>
      <w:r w:rsidR="00741983">
        <w:rPr>
          <w:color w:val="000000"/>
        </w:rPr>
        <w:t xml:space="preserve"> and Father appealed. We represent Father on appeal and are looking into whether trial counsel’s </w:t>
      </w:r>
      <w:r w:rsidR="008C7DF4">
        <w:rPr>
          <w:color w:val="000000"/>
        </w:rPr>
        <w:t xml:space="preserve">actions constituted ineffective assistance of counsel </w:t>
      </w:r>
      <w:r w:rsidR="00E34A44">
        <w:rPr>
          <w:color w:val="000000"/>
        </w:rPr>
        <w:t xml:space="preserve">or, alternatively, </w:t>
      </w:r>
      <w:r w:rsidR="00702EA6">
        <w:rPr>
          <w:color w:val="000000"/>
        </w:rPr>
        <w:t xml:space="preserve">whether </w:t>
      </w:r>
      <w:r w:rsidR="00E34A44">
        <w:rPr>
          <w:color w:val="000000"/>
        </w:rPr>
        <w:t xml:space="preserve">his actions </w:t>
      </w:r>
      <w:r w:rsidR="008C7DF4">
        <w:rPr>
          <w:color w:val="000000"/>
        </w:rPr>
        <w:t xml:space="preserve">constructively denied Father counsel. </w:t>
      </w:r>
      <w:r>
        <w:rPr>
          <w:color w:val="000000"/>
        </w:rPr>
        <w:t xml:space="preserve"> </w:t>
      </w:r>
    </w:p>
    <w:p w:rsidR="005873C1" w:rsidRPr="005873C1" w:rsidRDefault="00FD3AE5" w:rsidP="005873C1">
      <w:pPr>
        <w:pStyle w:val="NormalWeb"/>
        <w:spacing w:before="0" w:beforeAutospacing="0" w:after="200" w:afterAutospacing="0" w:line="480" w:lineRule="auto"/>
        <w:rPr>
          <w:b/>
          <w:bCs/>
          <w:color w:val="000000"/>
        </w:rPr>
      </w:pPr>
      <w:r>
        <w:rPr>
          <w:b/>
          <w:bCs/>
          <w:color w:val="000000"/>
        </w:rPr>
        <w:t>Discussion:</w:t>
      </w:r>
    </w:p>
    <w:p w:rsidR="002A177C" w:rsidRDefault="0001655A" w:rsidP="00E34AD9">
      <w:pPr>
        <w:pStyle w:val="NormalWeb"/>
        <w:numPr>
          <w:ilvl w:val="0"/>
          <w:numId w:val="8"/>
        </w:numPr>
        <w:spacing w:before="0" w:beforeAutospacing="0" w:after="200" w:afterAutospacing="0"/>
        <w:textAlignment w:val="baseline"/>
        <w:rPr>
          <w:b/>
          <w:bCs/>
          <w:color w:val="000000"/>
        </w:rPr>
      </w:pPr>
      <w:r>
        <w:rPr>
          <w:b/>
          <w:bCs/>
          <w:color w:val="000000"/>
        </w:rPr>
        <w:t xml:space="preserve">The right to </w:t>
      </w:r>
      <w:r w:rsidR="002A177C">
        <w:rPr>
          <w:b/>
          <w:bCs/>
          <w:color w:val="000000"/>
        </w:rPr>
        <w:t xml:space="preserve">effective assistance of counsel </w:t>
      </w:r>
    </w:p>
    <w:p w:rsidR="002A177C" w:rsidRDefault="00FD3AE5" w:rsidP="002A177C">
      <w:pPr>
        <w:pStyle w:val="NormalWeb"/>
        <w:spacing w:before="0" w:beforeAutospacing="0" w:after="200" w:afterAutospacing="0" w:line="480" w:lineRule="auto"/>
        <w:rPr>
          <w:color w:val="000000"/>
        </w:rPr>
      </w:pPr>
      <w:r>
        <w:rPr>
          <w:rStyle w:val="apple-tab-span"/>
          <w:color w:val="000000"/>
        </w:rPr>
        <w:tab/>
      </w:r>
      <w:r>
        <w:rPr>
          <w:color w:val="000000"/>
        </w:rPr>
        <w:t>Under Massachusetts law, children and indigent parents have a right to coun</w:t>
      </w:r>
      <w:r w:rsidR="004F3CA4">
        <w:rPr>
          <w:color w:val="000000"/>
        </w:rPr>
        <w:t xml:space="preserve">sel based on statute and </w:t>
      </w:r>
      <w:r>
        <w:rPr>
          <w:color w:val="000000"/>
        </w:rPr>
        <w:t xml:space="preserve">due process. </w:t>
      </w:r>
      <w:r>
        <w:rPr>
          <w:color w:val="000000"/>
          <w:u w:val="single"/>
        </w:rPr>
        <w:t>See</w:t>
      </w:r>
      <w:r>
        <w:rPr>
          <w:color w:val="000000"/>
        </w:rPr>
        <w:t xml:space="preserve"> G. L. c. 119</w:t>
      </w:r>
      <w:r w:rsidR="00171A27">
        <w:rPr>
          <w:color w:val="000000"/>
        </w:rPr>
        <w:t>,</w:t>
      </w:r>
      <w:r>
        <w:rPr>
          <w:color w:val="000000"/>
        </w:rPr>
        <w:t xml:space="preserve"> §</w:t>
      </w:r>
      <w:r w:rsidR="006C6F4F">
        <w:rPr>
          <w:color w:val="000000"/>
        </w:rPr>
        <w:t xml:space="preserve"> </w:t>
      </w:r>
      <w:r>
        <w:rPr>
          <w:color w:val="000000"/>
        </w:rPr>
        <w:t xml:space="preserve">29 (stating that “[w]henever the department or a licensed child placement agency is a party to child custody proceedings, the parent, guardian or custodian of the child… shall have and be informed of the right to counsel at all such hearings”); </w:t>
      </w:r>
      <w:r>
        <w:rPr>
          <w:color w:val="000000"/>
          <w:u w:val="single"/>
        </w:rPr>
        <w:t>see also</w:t>
      </w:r>
      <w:r>
        <w:rPr>
          <w:color w:val="000000"/>
        </w:rPr>
        <w:t xml:space="preserve"> </w:t>
      </w:r>
      <w:r>
        <w:rPr>
          <w:color w:val="000000"/>
          <w:u w:val="single"/>
        </w:rPr>
        <w:t>Department of Public Welfare v. J.K.B.</w:t>
      </w:r>
      <w:r>
        <w:rPr>
          <w:color w:val="000000"/>
        </w:rPr>
        <w:t>, 37</w:t>
      </w:r>
      <w:r w:rsidR="00741983">
        <w:rPr>
          <w:color w:val="000000"/>
        </w:rPr>
        <w:t xml:space="preserve">9 Mass. 1, 3 (1979) (holding </w:t>
      </w:r>
      <w:r>
        <w:rPr>
          <w:color w:val="000000"/>
        </w:rPr>
        <w:t xml:space="preserve">that where </w:t>
      </w:r>
      <w:r w:rsidR="004F3CA4">
        <w:rPr>
          <w:color w:val="000000"/>
        </w:rPr>
        <w:t xml:space="preserve">the </w:t>
      </w:r>
      <w:r w:rsidR="00CA7ACB">
        <w:rPr>
          <w:color w:val="000000"/>
        </w:rPr>
        <w:t>department</w:t>
      </w:r>
      <w:r w:rsidR="004F3CA4">
        <w:rPr>
          <w:color w:val="000000"/>
        </w:rPr>
        <w:t xml:space="preserve"> initiates proceedings to terminate parental rights</w:t>
      </w:r>
      <w:r>
        <w:rPr>
          <w:color w:val="000000"/>
        </w:rPr>
        <w:t>, an indigent parent has a co</w:t>
      </w:r>
      <w:r w:rsidR="00365048">
        <w:rPr>
          <w:color w:val="000000"/>
        </w:rPr>
        <w:t xml:space="preserve">nstitutional right to </w:t>
      </w:r>
      <w:r>
        <w:rPr>
          <w:color w:val="000000"/>
        </w:rPr>
        <w:t>counsel).</w:t>
      </w:r>
      <w:r w:rsidR="00176E98">
        <w:rPr>
          <w:rStyle w:val="FootnoteReference"/>
          <w:color w:val="000000"/>
        </w:rPr>
        <w:footnoteReference w:id="1"/>
      </w:r>
      <w:r w:rsidR="00365048" w:rsidRPr="00365048">
        <w:rPr>
          <w:color w:val="000000"/>
        </w:rPr>
        <w:t xml:space="preserve"> </w:t>
      </w:r>
      <w:r w:rsidR="00365048">
        <w:rPr>
          <w:color w:val="000000"/>
        </w:rPr>
        <w:t xml:space="preserve">Noting that the right to counsel “is of little value unless there is an expectation that counsel’s assistance will be effective,” the Supreme Judicial Court held that the right to </w:t>
      </w:r>
      <w:r w:rsidR="00365048">
        <w:rPr>
          <w:i/>
          <w:color w:val="000000"/>
        </w:rPr>
        <w:t>effective</w:t>
      </w:r>
      <w:r w:rsidR="00741983">
        <w:rPr>
          <w:i/>
          <w:color w:val="000000"/>
        </w:rPr>
        <w:t xml:space="preserve"> </w:t>
      </w:r>
      <w:r w:rsidR="00741983">
        <w:rPr>
          <w:color w:val="000000"/>
        </w:rPr>
        <w:t>assistance of</w:t>
      </w:r>
      <w:r w:rsidR="00365048">
        <w:rPr>
          <w:i/>
          <w:color w:val="000000"/>
        </w:rPr>
        <w:t xml:space="preserve"> </w:t>
      </w:r>
      <w:r w:rsidR="00365048">
        <w:rPr>
          <w:color w:val="000000"/>
        </w:rPr>
        <w:t>counsel</w:t>
      </w:r>
      <w:r w:rsidR="00365048">
        <w:rPr>
          <w:i/>
          <w:color w:val="000000"/>
        </w:rPr>
        <w:t xml:space="preserve"> </w:t>
      </w:r>
      <w:r w:rsidR="00365048">
        <w:rPr>
          <w:color w:val="000000"/>
        </w:rPr>
        <w:t>is necessarily implied.</w:t>
      </w:r>
      <w:r w:rsidR="00365048" w:rsidRPr="009219A2">
        <w:rPr>
          <w:color w:val="000000"/>
        </w:rPr>
        <w:t xml:space="preserve"> </w:t>
      </w:r>
      <w:r w:rsidR="00741983">
        <w:rPr>
          <w:color w:val="000000"/>
          <w:u w:val="single"/>
        </w:rPr>
        <w:t>Care and Protection of</w:t>
      </w:r>
      <w:r w:rsidR="00365048">
        <w:rPr>
          <w:color w:val="000000"/>
          <w:u w:val="single"/>
        </w:rPr>
        <w:t xml:space="preserve"> Stephen</w:t>
      </w:r>
      <w:r w:rsidR="00E555CD">
        <w:rPr>
          <w:color w:val="000000"/>
        </w:rPr>
        <w:t xml:space="preserve">, 401 Mass. 144, 149 (1987). </w:t>
      </w:r>
      <w:r>
        <w:rPr>
          <w:color w:val="000000"/>
        </w:rPr>
        <w:t>Consequently, parents i</w:t>
      </w:r>
      <w:r w:rsidR="00D3589E">
        <w:rPr>
          <w:color w:val="000000"/>
        </w:rPr>
        <w:t>n child welfare cases have</w:t>
      </w:r>
      <w:r>
        <w:rPr>
          <w:color w:val="000000"/>
        </w:rPr>
        <w:t xml:space="preserve"> the right to a new trial </w:t>
      </w:r>
      <w:r w:rsidR="0035730C">
        <w:rPr>
          <w:color w:val="000000"/>
        </w:rPr>
        <w:t>when</w:t>
      </w:r>
      <w:r>
        <w:rPr>
          <w:color w:val="000000"/>
        </w:rPr>
        <w:t xml:space="preserve"> counsel is found to have rendered ineffective assistance. </w:t>
      </w:r>
      <w:r>
        <w:rPr>
          <w:color w:val="000000"/>
          <w:u w:val="single"/>
        </w:rPr>
        <w:t>Id.</w:t>
      </w:r>
      <w:r>
        <w:rPr>
          <w:color w:val="000000"/>
        </w:rPr>
        <w:t xml:space="preserve"> </w:t>
      </w:r>
    </w:p>
    <w:p w:rsidR="002A177C" w:rsidRPr="0039537B" w:rsidRDefault="002A177C" w:rsidP="0039537B">
      <w:pPr>
        <w:pStyle w:val="NormalWeb"/>
        <w:numPr>
          <w:ilvl w:val="0"/>
          <w:numId w:val="8"/>
        </w:numPr>
        <w:spacing w:before="0" w:beforeAutospacing="0" w:after="200" w:afterAutospacing="0"/>
        <w:textAlignment w:val="baseline"/>
        <w:rPr>
          <w:b/>
          <w:bCs/>
          <w:color w:val="000000"/>
        </w:rPr>
      </w:pPr>
      <w:r>
        <w:rPr>
          <w:b/>
          <w:bCs/>
          <w:color w:val="000000"/>
        </w:rPr>
        <w:t>Father is unlikely to prevail on a claim of ineffective assistance of counsel</w:t>
      </w:r>
      <w:r w:rsidR="0039537B" w:rsidRPr="0039537B">
        <w:rPr>
          <w:b/>
          <w:bCs/>
          <w:color w:val="000000"/>
        </w:rPr>
        <w:tab/>
      </w:r>
      <w:r w:rsidR="0039537B" w:rsidRPr="0039537B">
        <w:rPr>
          <w:b/>
          <w:bCs/>
          <w:color w:val="000000"/>
        </w:rPr>
        <w:tab/>
      </w:r>
    </w:p>
    <w:p w:rsidR="00FD3AE5" w:rsidRDefault="00CA7ACB" w:rsidP="005873C1">
      <w:pPr>
        <w:pStyle w:val="NormalWeb"/>
        <w:spacing w:before="0" w:beforeAutospacing="0" w:after="200" w:afterAutospacing="0" w:line="480" w:lineRule="auto"/>
        <w:ind w:firstLine="720"/>
        <w:rPr>
          <w:color w:val="000000"/>
        </w:rPr>
      </w:pPr>
      <w:r>
        <w:rPr>
          <w:color w:val="000000"/>
        </w:rPr>
        <w:t>Child welfare proceedings adopt the criminal standard for determining ineffective assistance of counsel</w:t>
      </w:r>
      <w:r w:rsidR="00D3589E">
        <w:rPr>
          <w:color w:val="000000"/>
        </w:rPr>
        <w:t xml:space="preserve"> but alter </w:t>
      </w:r>
      <w:r w:rsidR="00EA7624">
        <w:rPr>
          <w:color w:val="000000"/>
        </w:rPr>
        <w:t xml:space="preserve">the second prong of the analysis to require a showing of “prejudice.” </w:t>
      </w:r>
      <w:r w:rsidR="00EA7624">
        <w:rPr>
          <w:color w:val="000000"/>
          <w:u w:val="single"/>
        </w:rPr>
        <w:t>See</w:t>
      </w:r>
      <w:r w:rsidR="00EA7624">
        <w:rPr>
          <w:color w:val="000000"/>
        </w:rPr>
        <w:t xml:space="preserve"> </w:t>
      </w:r>
      <w:r w:rsidR="00D3589E">
        <w:rPr>
          <w:color w:val="000000"/>
          <w:u w:val="single"/>
        </w:rPr>
        <w:t xml:space="preserve">Care and Protection of </w:t>
      </w:r>
      <w:r w:rsidR="00EA7624">
        <w:rPr>
          <w:color w:val="000000"/>
          <w:u w:val="single"/>
        </w:rPr>
        <w:t>Georgette</w:t>
      </w:r>
      <w:r w:rsidR="00EA7624">
        <w:rPr>
          <w:color w:val="000000"/>
        </w:rPr>
        <w:t>, 439 Mass. 28, 33 n. 7</w:t>
      </w:r>
      <w:r w:rsidR="00BE2D37">
        <w:rPr>
          <w:color w:val="000000"/>
        </w:rPr>
        <w:t xml:space="preserve"> (2003) </w:t>
      </w:r>
      <w:r w:rsidR="00171A27">
        <w:rPr>
          <w:color w:val="000000"/>
        </w:rPr>
        <w:t>(</w:t>
      </w:r>
      <w:r w:rsidR="00BE2D37">
        <w:rPr>
          <w:color w:val="000000"/>
        </w:rPr>
        <w:t xml:space="preserve">citing </w:t>
      </w:r>
      <w:r w:rsidR="00BE2D37">
        <w:rPr>
          <w:color w:val="000000"/>
          <w:u w:val="single"/>
        </w:rPr>
        <w:t>Commonwealth v. Saferian</w:t>
      </w:r>
      <w:r w:rsidR="00BE2D37">
        <w:rPr>
          <w:color w:val="000000"/>
        </w:rPr>
        <w:t>, 366 Mass. 89, 96 (1974)</w:t>
      </w:r>
      <w:r w:rsidR="00171A27">
        <w:rPr>
          <w:color w:val="000000"/>
        </w:rPr>
        <w:t>)</w:t>
      </w:r>
      <w:r w:rsidR="00BE2D37">
        <w:rPr>
          <w:color w:val="000000"/>
        </w:rPr>
        <w:t xml:space="preserve">. </w:t>
      </w:r>
      <w:r w:rsidR="00FD3AE5">
        <w:rPr>
          <w:color w:val="000000"/>
        </w:rPr>
        <w:t>Under this approach, the court</w:t>
      </w:r>
      <w:r w:rsidR="00164E94">
        <w:rPr>
          <w:color w:val="000000"/>
        </w:rPr>
        <w:t xml:space="preserve"> must determine whether: (1)</w:t>
      </w:r>
      <w:r w:rsidR="004C25F3">
        <w:rPr>
          <w:color w:val="000000"/>
        </w:rPr>
        <w:t xml:space="preserve"> counsel’s behavior </w:t>
      </w:r>
      <w:r w:rsidR="00FD3AE5">
        <w:rPr>
          <w:color w:val="000000"/>
        </w:rPr>
        <w:t>fell “measurably below that which might be expected from an ordinar</w:t>
      </w:r>
      <w:r w:rsidR="00D3589E">
        <w:rPr>
          <w:color w:val="000000"/>
        </w:rPr>
        <w:t>y falli</w:t>
      </w:r>
      <w:r w:rsidR="00164E94">
        <w:rPr>
          <w:color w:val="000000"/>
        </w:rPr>
        <w:t xml:space="preserve">ble lawyer” and (2) counsel’s </w:t>
      </w:r>
      <w:r w:rsidR="00FD3AE5">
        <w:rPr>
          <w:color w:val="000000"/>
        </w:rPr>
        <w:t>conduct</w:t>
      </w:r>
      <w:r w:rsidR="006829B4">
        <w:rPr>
          <w:color w:val="000000"/>
        </w:rPr>
        <w:t xml:space="preserve"> </w:t>
      </w:r>
      <w:r w:rsidR="00164E94">
        <w:rPr>
          <w:color w:val="000000"/>
        </w:rPr>
        <w:t xml:space="preserve">prejudiced the </w:t>
      </w:r>
      <w:r w:rsidR="00D3589E">
        <w:rPr>
          <w:color w:val="000000"/>
        </w:rPr>
        <w:t>client</w:t>
      </w:r>
      <w:r w:rsidR="00164E94">
        <w:rPr>
          <w:color w:val="000000"/>
        </w:rPr>
        <w:t xml:space="preserve">. </w:t>
      </w:r>
      <w:r w:rsidR="00164E94">
        <w:rPr>
          <w:color w:val="000000"/>
          <w:u w:val="single"/>
        </w:rPr>
        <w:t>Id.</w:t>
      </w:r>
      <w:r w:rsidR="00164E94" w:rsidRPr="00164E94">
        <w:rPr>
          <w:color w:val="000000"/>
        </w:rPr>
        <w:t xml:space="preserve"> </w:t>
      </w:r>
      <w:r w:rsidR="005F6C1F">
        <w:rPr>
          <w:color w:val="000000"/>
        </w:rPr>
        <w:t>If trial counsel’s poor performance concerns strategic decision-making, her</w:t>
      </w:r>
      <w:r w:rsidR="00D43689">
        <w:rPr>
          <w:color w:val="000000"/>
        </w:rPr>
        <w:t xml:space="preserve"> decision</w:t>
      </w:r>
      <w:r w:rsidR="00D3589E">
        <w:rPr>
          <w:color w:val="000000"/>
        </w:rPr>
        <w:t>s</w:t>
      </w:r>
      <w:r w:rsidR="00FD3AE5">
        <w:rPr>
          <w:color w:val="000000"/>
        </w:rPr>
        <w:t xml:space="preserve"> must have been “manifestly unr</w:t>
      </w:r>
      <w:r w:rsidR="0087788C">
        <w:rPr>
          <w:color w:val="000000"/>
        </w:rPr>
        <w:t>easonable</w:t>
      </w:r>
      <w:r w:rsidR="004C25F3">
        <w:rPr>
          <w:color w:val="000000"/>
        </w:rPr>
        <w:t>.”</w:t>
      </w:r>
      <w:r w:rsidR="007957B8">
        <w:rPr>
          <w:color w:val="000000"/>
        </w:rPr>
        <w:t xml:space="preserve"> </w:t>
      </w:r>
      <w:r w:rsidR="007957B8">
        <w:rPr>
          <w:color w:val="000000"/>
          <w:u w:val="single"/>
        </w:rPr>
        <w:t>See</w:t>
      </w:r>
      <w:r w:rsidR="007957B8">
        <w:rPr>
          <w:color w:val="000000"/>
        </w:rPr>
        <w:t xml:space="preserve"> </w:t>
      </w:r>
      <w:r w:rsidR="007957B8">
        <w:rPr>
          <w:color w:val="000000"/>
          <w:u w:val="single"/>
        </w:rPr>
        <w:t>Adoption of Yvette</w:t>
      </w:r>
      <w:r w:rsidR="007957B8">
        <w:rPr>
          <w:color w:val="000000"/>
        </w:rPr>
        <w:t>, 71 Mass. App. Ct. 327, 345 (2008). P</w:t>
      </w:r>
      <w:r w:rsidR="0087788C">
        <w:rPr>
          <w:color w:val="000000"/>
        </w:rPr>
        <w:t>oor tactical decisions alone are insufficient.</w:t>
      </w:r>
      <w:r w:rsidR="007957B8">
        <w:rPr>
          <w:color w:val="000000"/>
        </w:rPr>
        <w:t xml:space="preserve"> </w:t>
      </w:r>
      <w:r w:rsidR="007957B8">
        <w:rPr>
          <w:color w:val="000000"/>
          <w:u w:val="single"/>
        </w:rPr>
        <w:t>Id.</w:t>
      </w:r>
      <w:r w:rsidR="007957B8">
        <w:rPr>
          <w:color w:val="000000"/>
        </w:rPr>
        <w:t xml:space="preserve"> </w:t>
      </w:r>
      <w:r w:rsidR="005F6C1F">
        <w:rPr>
          <w:color w:val="000000"/>
        </w:rPr>
        <w:t>T</w:t>
      </w:r>
      <w:r w:rsidR="00D3589E">
        <w:rPr>
          <w:color w:val="000000"/>
        </w:rPr>
        <w:t>he second prong—prejudice—</w:t>
      </w:r>
      <w:r w:rsidR="005F6C1F">
        <w:rPr>
          <w:color w:val="000000"/>
        </w:rPr>
        <w:t xml:space="preserve">cannot be satisfied if the </w:t>
      </w:r>
      <w:r w:rsidR="00D3589E">
        <w:rPr>
          <w:color w:val="000000"/>
        </w:rPr>
        <w:t xml:space="preserve">evidence of unfitness </w:t>
      </w:r>
      <w:r w:rsidR="005F6C1F">
        <w:rPr>
          <w:color w:val="000000"/>
        </w:rPr>
        <w:t>is</w:t>
      </w:r>
      <w:r w:rsidR="00D3589E">
        <w:rPr>
          <w:color w:val="000000"/>
        </w:rPr>
        <w:t xml:space="preserve"> overwhelming</w:t>
      </w:r>
      <w:r w:rsidR="007957B8">
        <w:rPr>
          <w:color w:val="000000"/>
        </w:rPr>
        <w:t>.</w:t>
      </w:r>
      <w:r w:rsidR="00FD3AE5">
        <w:rPr>
          <w:color w:val="000000"/>
        </w:rPr>
        <w:t xml:space="preserve"> </w:t>
      </w:r>
      <w:r w:rsidR="00FD3AE5">
        <w:rPr>
          <w:color w:val="000000"/>
          <w:u w:val="single"/>
        </w:rPr>
        <w:t>Contrast</w:t>
      </w:r>
      <w:r w:rsidR="00FD3AE5">
        <w:rPr>
          <w:color w:val="000000"/>
        </w:rPr>
        <w:t xml:space="preserve"> </w:t>
      </w:r>
      <w:r w:rsidR="00FD3AE5">
        <w:rPr>
          <w:color w:val="000000"/>
          <w:u w:val="single"/>
        </w:rPr>
        <w:t>Adoption of Azziza</w:t>
      </w:r>
      <w:r w:rsidR="00FD3AE5">
        <w:rPr>
          <w:color w:val="000000"/>
        </w:rPr>
        <w:t xml:space="preserve">, 77 Mass. App. Ct. 363, 368 (2010) (holding that the second prong was satisfied when the evidence of unfitness was sufficient but not overwhelming), </w:t>
      </w:r>
      <w:r w:rsidR="00FD3AE5">
        <w:rPr>
          <w:color w:val="000000"/>
          <w:u w:val="single"/>
        </w:rPr>
        <w:t>with</w:t>
      </w:r>
      <w:r w:rsidR="00FD3AE5">
        <w:rPr>
          <w:color w:val="000000"/>
        </w:rPr>
        <w:t xml:space="preserve"> </w:t>
      </w:r>
      <w:r w:rsidR="00FD3AE5">
        <w:rPr>
          <w:color w:val="000000"/>
          <w:u w:val="single"/>
        </w:rPr>
        <w:t>Adoption of Holly</w:t>
      </w:r>
      <w:r w:rsidR="00FD3AE5">
        <w:rPr>
          <w:color w:val="000000"/>
        </w:rPr>
        <w:t xml:space="preserve">, 432 Mass. 680, 690 (2000) (concluding that there was no prejudice </w:t>
      </w:r>
      <w:r w:rsidR="007957B8">
        <w:rPr>
          <w:color w:val="000000"/>
        </w:rPr>
        <w:t>because evidence of unfitness was overwhelming</w:t>
      </w:r>
      <w:r w:rsidR="00FD3AE5">
        <w:rPr>
          <w:color w:val="000000"/>
        </w:rPr>
        <w:t>).</w:t>
      </w:r>
    </w:p>
    <w:p w:rsidR="00A60C35" w:rsidRPr="000E54E3" w:rsidRDefault="00A60C35" w:rsidP="00A60C35">
      <w:pPr>
        <w:pStyle w:val="NormalWeb"/>
        <w:spacing w:before="0" w:beforeAutospacing="0" w:after="200" w:afterAutospacing="0" w:line="480" w:lineRule="auto"/>
        <w:ind w:firstLine="720"/>
        <w:rPr>
          <w:color w:val="000000"/>
        </w:rPr>
      </w:pPr>
      <w:r>
        <w:rPr>
          <w:color w:val="000000"/>
        </w:rPr>
        <w:t>Reversals</w:t>
      </w:r>
      <w:r w:rsidR="0001655A">
        <w:rPr>
          <w:color w:val="000000"/>
        </w:rPr>
        <w:t xml:space="preserve"> of termination decisions</w:t>
      </w:r>
      <w:r>
        <w:rPr>
          <w:color w:val="000000"/>
        </w:rPr>
        <w:t xml:space="preserve"> on the basis of ineffective assistance of counsel are rare. </w:t>
      </w:r>
      <w:r>
        <w:rPr>
          <w:color w:val="000000"/>
          <w:u w:val="single"/>
        </w:rPr>
        <w:t>But see</w:t>
      </w:r>
      <w:r w:rsidRPr="005A09A9">
        <w:rPr>
          <w:color w:val="000000"/>
        </w:rPr>
        <w:t xml:space="preserve"> </w:t>
      </w:r>
      <w:r w:rsidR="00171A27">
        <w:rPr>
          <w:color w:val="000000"/>
          <w:u w:val="single"/>
        </w:rPr>
        <w:t>Azziza</w:t>
      </w:r>
      <w:r w:rsidR="00171A27">
        <w:rPr>
          <w:color w:val="000000"/>
        </w:rPr>
        <w:t xml:space="preserve">, 77 Mass. App. Ct. at 368; </w:t>
      </w:r>
      <w:r>
        <w:rPr>
          <w:color w:val="000000"/>
          <w:u w:val="single"/>
        </w:rPr>
        <w:t>see also</w:t>
      </w:r>
      <w:r w:rsidR="00171A27" w:rsidRPr="00171A27">
        <w:rPr>
          <w:color w:val="000000"/>
        </w:rPr>
        <w:t xml:space="preserve"> </w:t>
      </w:r>
      <w:r w:rsidR="00171A27">
        <w:rPr>
          <w:color w:val="000000"/>
          <w:u w:val="single"/>
        </w:rPr>
        <w:t>Adoption of Flora</w:t>
      </w:r>
      <w:r w:rsidR="00171A27">
        <w:rPr>
          <w:color w:val="000000"/>
        </w:rPr>
        <w:t xml:space="preserve">, 60 Mass. App. Ct. 334, 339 (2004) (concluding that following the logic of </w:t>
      </w:r>
      <w:r w:rsidR="00171A27">
        <w:rPr>
          <w:color w:val="000000"/>
          <w:u w:val="single"/>
        </w:rPr>
        <w:t>Georgette</w:t>
      </w:r>
      <w:r w:rsidR="00171A27">
        <w:rPr>
          <w:color w:val="000000"/>
        </w:rPr>
        <w:t>, child’s counsel’s failure to advocate for child’s wishes at trial warranted reversal, although not specifically labeling counsel’s failure as ineffective assistance)</w:t>
      </w:r>
      <w:r>
        <w:rPr>
          <w:color w:val="000000"/>
        </w:rPr>
        <w:t xml:space="preserve">. In </w:t>
      </w:r>
      <w:r>
        <w:rPr>
          <w:color w:val="000000"/>
          <w:u w:val="single"/>
        </w:rPr>
        <w:t>Azziza</w:t>
      </w:r>
      <w:r>
        <w:rPr>
          <w:color w:val="000000"/>
        </w:rPr>
        <w:t xml:space="preserve">, the Massachusetts Appeals Court concluded that trial counsel’s failure to mount a defense </w:t>
      </w:r>
      <w:r w:rsidR="000E54E3">
        <w:rPr>
          <w:color w:val="000000"/>
        </w:rPr>
        <w:t xml:space="preserve">for a father </w:t>
      </w:r>
      <w:r>
        <w:rPr>
          <w:color w:val="000000"/>
        </w:rPr>
        <w:t xml:space="preserve">constituted ineffective assistance of counsel. </w:t>
      </w:r>
      <w:r>
        <w:rPr>
          <w:color w:val="000000"/>
          <w:u w:val="single"/>
        </w:rPr>
        <w:t>Id.</w:t>
      </w:r>
      <w:r>
        <w:rPr>
          <w:color w:val="000000"/>
        </w:rPr>
        <w:t xml:space="preserve"> Following the termination of his parental rights, Father appealed</w:t>
      </w:r>
      <w:r w:rsidR="000E54E3">
        <w:rPr>
          <w:color w:val="000000"/>
        </w:rPr>
        <w:t>,</w:t>
      </w:r>
      <w:r>
        <w:rPr>
          <w:color w:val="000000"/>
        </w:rPr>
        <w:t xml:space="preserve"> alleging that trial counsel rendered ineffective assistance by failing to prepare for trial, fi</w:t>
      </w:r>
      <w:r w:rsidR="00C541B4">
        <w:rPr>
          <w:color w:val="000000"/>
        </w:rPr>
        <w:t>le proposed findings of fact, and</w:t>
      </w:r>
      <w:r>
        <w:rPr>
          <w:color w:val="000000"/>
        </w:rPr>
        <w:t xml:space="preserve"> call key witnesses on his behalf. </w:t>
      </w:r>
      <w:r>
        <w:rPr>
          <w:color w:val="000000"/>
          <w:u w:val="single"/>
        </w:rPr>
        <w:t>Id.</w:t>
      </w:r>
      <w:r>
        <w:rPr>
          <w:color w:val="000000"/>
        </w:rPr>
        <w:t xml:space="preserve"> The court held that trial counsel’s conduct satisfied the first prong of the </w:t>
      </w:r>
      <w:r w:rsidRPr="00C541B4">
        <w:rPr>
          <w:color w:val="000000"/>
          <w:u w:val="single"/>
        </w:rPr>
        <w:t>Saferian</w:t>
      </w:r>
      <w:r>
        <w:rPr>
          <w:color w:val="000000"/>
        </w:rPr>
        <w:t>/</w:t>
      </w:r>
      <w:r w:rsidRPr="00C541B4">
        <w:rPr>
          <w:color w:val="000000"/>
          <w:u w:val="single"/>
        </w:rPr>
        <w:t>Georgette</w:t>
      </w:r>
      <w:r>
        <w:rPr>
          <w:color w:val="000000"/>
        </w:rPr>
        <w:t xml:space="preserve"> test and focused on the question of prejudice. </w:t>
      </w:r>
      <w:r w:rsidR="000E54E3">
        <w:rPr>
          <w:color w:val="000000"/>
          <w:u w:val="single"/>
        </w:rPr>
        <w:t>Id.</w:t>
      </w:r>
      <w:r w:rsidR="000E54E3">
        <w:rPr>
          <w:color w:val="000000"/>
        </w:rPr>
        <w:t xml:space="preserve"> </w:t>
      </w:r>
      <w:r>
        <w:rPr>
          <w:color w:val="000000"/>
        </w:rPr>
        <w:t xml:space="preserve">The court </w:t>
      </w:r>
      <w:r w:rsidR="000A76EA">
        <w:rPr>
          <w:color w:val="000000"/>
        </w:rPr>
        <w:t>reasoned</w:t>
      </w:r>
      <w:r>
        <w:rPr>
          <w:color w:val="000000"/>
        </w:rPr>
        <w:t xml:space="preserve"> that while Father’s chronic unemployment, lack of stab</w:t>
      </w:r>
      <w:r w:rsidR="000E54E3">
        <w:rPr>
          <w:color w:val="000000"/>
        </w:rPr>
        <w:t>le housing, and abdication</w:t>
      </w:r>
      <w:r w:rsidR="004C75FE">
        <w:rPr>
          <w:color w:val="000000"/>
        </w:rPr>
        <w:t xml:space="preserve"> of childcare</w:t>
      </w:r>
      <w:r w:rsidR="000E54E3">
        <w:rPr>
          <w:color w:val="000000"/>
        </w:rPr>
        <w:t xml:space="preserve"> responsibilities </w:t>
      </w:r>
      <w:r>
        <w:rPr>
          <w:color w:val="000000"/>
        </w:rPr>
        <w:t xml:space="preserve">was sufficient evidence of unfitness, </w:t>
      </w:r>
      <w:r w:rsidR="002A177C">
        <w:rPr>
          <w:color w:val="000000"/>
        </w:rPr>
        <w:t>it was not</w:t>
      </w:r>
      <w:r>
        <w:rPr>
          <w:color w:val="000000"/>
        </w:rPr>
        <w:t xml:space="preserve"> overwhelming.</w:t>
      </w:r>
      <w:r w:rsidR="000E54E3" w:rsidRPr="000E54E3">
        <w:rPr>
          <w:color w:val="000000"/>
        </w:rPr>
        <w:t xml:space="preserve"> </w:t>
      </w:r>
      <w:r w:rsidR="000E54E3">
        <w:rPr>
          <w:color w:val="000000"/>
          <w:u w:val="single"/>
        </w:rPr>
        <w:t>Id.</w:t>
      </w:r>
      <w:r w:rsidR="000E54E3">
        <w:rPr>
          <w:color w:val="000000"/>
        </w:rPr>
        <w:t xml:space="preserve"> at 365-6, 368.</w:t>
      </w:r>
      <w:r>
        <w:rPr>
          <w:color w:val="000000"/>
        </w:rPr>
        <w:t xml:space="preserve"> As a result, the court concluded that trial counsel’s failure to properly test DCF’s case prejudiced Father and therefore constituted ineffective assistance of counsel. </w:t>
      </w:r>
      <w:r>
        <w:rPr>
          <w:color w:val="000000"/>
          <w:u w:val="single"/>
        </w:rPr>
        <w:t>Id.</w:t>
      </w:r>
      <w:r w:rsidR="000E54E3">
        <w:rPr>
          <w:color w:val="000000"/>
        </w:rPr>
        <w:t xml:space="preserve"> at 368.</w:t>
      </w:r>
    </w:p>
    <w:p w:rsidR="0039537B" w:rsidRDefault="0039537B" w:rsidP="0039537B">
      <w:pPr>
        <w:pStyle w:val="NormalWeb"/>
        <w:numPr>
          <w:ilvl w:val="1"/>
          <w:numId w:val="8"/>
        </w:numPr>
        <w:spacing w:before="0" w:beforeAutospacing="0" w:after="200" w:afterAutospacing="0"/>
        <w:textAlignment w:val="baseline"/>
        <w:rPr>
          <w:b/>
          <w:bCs/>
          <w:color w:val="000000"/>
        </w:rPr>
      </w:pPr>
      <w:r>
        <w:rPr>
          <w:b/>
          <w:bCs/>
          <w:color w:val="000000"/>
        </w:rPr>
        <w:t>Conceding unfitness as ineffective assistance of counsel</w:t>
      </w:r>
    </w:p>
    <w:p w:rsidR="005E6C13" w:rsidRDefault="005E6C13" w:rsidP="005E6C13">
      <w:pPr>
        <w:pStyle w:val="NormalWeb"/>
        <w:spacing w:before="0" w:beforeAutospacing="0" w:after="200" w:afterAutospacing="0" w:line="480" w:lineRule="auto"/>
        <w:ind w:firstLine="720"/>
        <w:rPr>
          <w:color w:val="000000"/>
        </w:rPr>
      </w:pPr>
      <w:r>
        <w:rPr>
          <w:color w:val="000000"/>
        </w:rPr>
        <w:t xml:space="preserve">In two unpublished cases, the Massachusetts Appeals Court applied the two-prong </w:t>
      </w:r>
      <w:r w:rsidRPr="00C541B4">
        <w:rPr>
          <w:color w:val="000000"/>
          <w:u w:val="single"/>
        </w:rPr>
        <w:t>Saferian</w:t>
      </w:r>
      <w:r>
        <w:rPr>
          <w:color w:val="000000"/>
        </w:rPr>
        <w:t>/</w:t>
      </w:r>
      <w:r w:rsidRPr="00C541B4">
        <w:rPr>
          <w:color w:val="000000"/>
          <w:u w:val="single"/>
        </w:rPr>
        <w:t>Georgette</w:t>
      </w:r>
      <w:r>
        <w:rPr>
          <w:color w:val="000000"/>
        </w:rPr>
        <w:t xml:space="preserve"> analysis in determining whether counsel’s unauthorized con</w:t>
      </w:r>
      <w:r w:rsidR="00E82625">
        <w:rPr>
          <w:color w:val="000000"/>
        </w:rPr>
        <w:t xml:space="preserve">cession of unfitness constituted </w:t>
      </w:r>
      <w:r>
        <w:rPr>
          <w:color w:val="000000"/>
        </w:rPr>
        <w:t>ineffective assistance of counsel.</w:t>
      </w:r>
      <w:r w:rsidR="00171A27">
        <w:rPr>
          <w:color w:val="000000"/>
        </w:rPr>
        <w:t xml:space="preserve"> </w:t>
      </w:r>
      <w:r w:rsidR="00171A27">
        <w:rPr>
          <w:color w:val="000000"/>
          <w:u w:val="single"/>
        </w:rPr>
        <w:t>See</w:t>
      </w:r>
      <w:r>
        <w:rPr>
          <w:color w:val="000000"/>
        </w:rPr>
        <w:t xml:space="preserve"> </w:t>
      </w:r>
      <w:r w:rsidR="002B2AEB">
        <w:rPr>
          <w:color w:val="000000"/>
          <w:u w:val="single"/>
        </w:rPr>
        <w:t>Adoption of Quenia</w:t>
      </w:r>
      <w:r w:rsidR="002B2AEB">
        <w:rPr>
          <w:color w:val="000000"/>
        </w:rPr>
        <w:t>, 2016 Mass. App. Unpub. LEXIS 459, *5</w:t>
      </w:r>
      <w:r w:rsidR="00C541B4">
        <w:rPr>
          <w:color w:val="000000"/>
        </w:rPr>
        <w:t xml:space="preserve"> (2016)</w:t>
      </w:r>
      <w:r w:rsidR="002B2AEB">
        <w:rPr>
          <w:color w:val="000000"/>
        </w:rPr>
        <w:t xml:space="preserve">; </w:t>
      </w:r>
      <w:r w:rsidR="002B2AEB">
        <w:rPr>
          <w:color w:val="000000"/>
          <w:u w:val="single"/>
        </w:rPr>
        <w:t>Adoption of Unity</w:t>
      </w:r>
      <w:r w:rsidR="002B2AEB">
        <w:rPr>
          <w:color w:val="000000"/>
        </w:rPr>
        <w:t>, 2011 Mass. App. Unpub. LEXIS 463, *6 (2011). In both cases, the c</w:t>
      </w:r>
      <w:r w:rsidR="00B5251D">
        <w:rPr>
          <w:color w:val="000000"/>
        </w:rPr>
        <w:t xml:space="preserve">ourt </w:t>
      </w:r>
      <w:r w:rsidR="00E82625">
        <w:rPr>
          <w:color w:val="000000"/>
        </w:rPr>
        <w:t xml:space="preserve">did not address </w:t>
      </w:r>
      <w:r w:rsidR="00171A27">
        <w:rPr>
          <w:color w:val="000000"/>
        </w:rPr>
        <w:t>the first prong—poor lawyering—</w:t>
      </w:r>
      <w:r w:rsidR="00E82625">
        <w:rPr>
          <w:color w:val="000000"/>
        </w:rPr>
        <w:t>because</w:t>
      </w:r>
      <w:r w:rsidR="000A76EA">
        <w:rPr>
          <w:color w:val="000000"/>
        </w:rPr>
        <w:t xml:space="preserve"> the</w:t>
      </w:r>
      <w:r w:rsidR="002B2AEB">
        <w:rPr>
          <w:color w:val="000000"/>
        </w:rPr>
        <w:t xml:space="preserve"> concession of unfitness did n</w:t>
      </w:r>
      <w:r w:rsidR="00B5251D">
        <w:rPr>
          <w:color w:val="000000"/>
        </w:rPr>
        <w:t>ot prejudice the client</w:t>
      </w:r>
      <w:r w:rsidR="00E82625">
        <w:rPr>
          <w:color w:val="000000"/>
        </w:rPr>
        <w:t xml:space="preserve">; </w:t>
      </w:r>
      <w:r w:rsidR="00B5251D">
        <w:rPr>
          <w:color w:val="000000"/>
        </w:rPr>
        <w:t>therefore</w:t>
      </w:r>
      <w:r w:rsidR="00E82625">
        <w:rPr>
          <w:color w:val="000000"/>
        </w:rPr>
        <w:t>,</w:t>
      </w:r>
      <w:r w:rsidR="00B5251D">
        <w:rPr>
          <w:color w:val="000000"/>
        </w:rPr>
        <w:t xml:space="preserve"> the </w:t>
      </w:r>
      <w:r w:rsidR="002B2AEB">
        <w:rPr>
          <w:color w:val="000000"/>
        </w:rPr>
        <w:t xml:space="preserve">claim of ineffective assistance of counsel failed. </w:t>
      </w:r>
      <w:r>
        <w:rPr>
          <w:color w:val="000000"/>
          <w:u w:val="single"/>
        </w:rPr>
        <w:t>See</w:t>
      </w:r>
      <w:r>
        <w:rPr>
          <w:color w:val="000000"/>
        </w:rPr>
        <w:t xml:space="preserve"> </w:t>
      </w:r>
      <w:r>
        <w:rPr>
          <w:color w:val="000000"/>
          <w:u w:val="single"/>
        </w:rPr>
        <w:t>Quenia</w:t>
      </w:r>
      <w:r>
        <w:rPr>
          <w:color w:val="000000"/>
        </w:rPr>
        <w:t>, 2</w:t>
      </w:r>
      <w:r w:rsidR="00C541B4">
        <w:rPr>
          <w:color w:val="000000"/>
        </w:rPr>
        <w:t>016 Mass. App. Unpub. LEXIS at *5</w:t>
      </w:r>
      <w:r>
        <w:rPr>
          <w:color w:val="000000"/>
        </w:rPr>
        <w:t xml:space="preserve"> (concluding that the court “need not decide if counsel’s stipulation was constitutionally i</w:t>
      </w:r>
      <w:r w:rsidR="000A76EA">
        <w:rPr>
          <w:color w:val="000000"/>
        </w:rPr>
        <w:t>neffective because… [t]he evidence of [Father’s] unfitness was clear”</w:t>
      </w:r>
      <w:r w:rsidR="00B5251D">
        <w:rPr>
          <w:color w:val="000000"/>
        </w:rPr>
        <w:t>);</w:t>
      </w:r>
      <w:r>
        <w:rPr>
          <w:color w:val="000000"/>
        </w:rPr>
        <w:t xml:space="preserve"> </w:t>
      </w:r>
      <w:r>
        <w:rPr>
          <w:color w:val="000000"/>
          <w:u w:val="single"/>
        </w:rPr>
        <w:t>Unity</w:t>
      </w:r>
      <w:r>
        <w:rPr>
          <w:color w:val="000000"/>
        </w:rPr>
        <w:t>, 20</w:t>
      </w:r>
      <w:r w:rsidR="00C541B4">
        <w:rPr>
          <w:color w:val="000000"/>
        </w:rPr>
        <w:t>11 Mass. App. Unpub. LEXIS at *6</w:t>
      </w:r>
      <w:r>
        <w:rPr>
          <w:color w:val="000000"/>
        </w:rPr>
        <w:t xml:space="preserve"> </w:t>
      </w:r>
      <w:r w:rsidR="00C52C1B">
        <w:rPr>
          <w:color w:val="000000"/>
        </w:rPr>
        <w:t>(</w:t>
      </w:r>
      <w:r w:rsidR="000A76EA">
        <w:rPr>
          <w:color w:val="000000"/>
        </w:rPr>
        <w:t>holding</w:t>
      </w:r>
      <w:r w:rsidR="00C541B4">
        <w:rPr>
          <w:color w:val="000000"/>
        </w:rPr>
        <w:t xml:space="preserve"> that</w:t>
      </w:r>
      <w:r w:rsidR="00814F54" w:rsidRPr="00814F54">
        <w:rPr>
          <w:color w:val="000000"/>
        </w:rPr>
        <w:t xml:space="preserve"> </w:t>
      </w:r>
      <w:r w:rsidR="00814F54">
        <w:rPr>
          <w:color w:val="000000"/>
        </w:rPr>
        <w:t>because the judge “independently concluded based on the vast amount of evidence presented that [m]other was currently unfit,”</w:t>
      </w:r>
      <w:r w:rsidR="00C541B4">
        <w:rPr>
          <w:color w:val="000000"/>
        </w:rPr>
        <w:t xml:space="preserve"> </w:t>
      </w:r>
      <w:r w:rsidR="00BA5AAB">
        <w:rPr>
          <w:color w:val="000000"/>
        </w:rPr>
        <w:t xml:space="preserve">the concession of unfitness did not </w:t>
      </w:r>
      <w:r w:rsidR="00814F54">
        <w:rPr>
          <w:color w:val="000000"/>
        </w:rPr>
        <w:t xml:space="preserve">prejudice the client) </w:t>
      </w:r>
      <w:r w:rsidR="002B2AEB">
        <w:rPr>
          <w:color w:val="000000"/>
        </w:rPr>
        <w:t>(internal quotations omitted)</w:t>
      </w:r>
      <w:r w:rsidR="00C52C1B">
        <w:rPr>
          <w:color w:val="000000"/>
        </w:rPr>
        <w:t>.</w:t>
      </w:r>
      <w:r>
        <w:rPr>
          <w:color w:val="000000"/>
        </w:rPr>
        <w:t xml:space="preserve"> Other jurisdictions have adopted </w:t>
      </w:r>
      <w:r w:rsidR="00171A27">
        <w:rPr>
          <w:color w:val="000000"/>
        </w:rPr>
        <w:t>a similar</w:t>
      </w:r>
      <w:r>
        <w:rPr>
          <w:color w:val="000000"/>
        </w:rPr>
        <w:t xml:space="preserve"> approach. </w:t>
      </w:r>
      <w:r>
        <w:rPr>
          <w:color w:val="000000"/>
          <w:u w:val="single"/>
        </w:rPr>
        <w:t>See</w:t>
      </w:r>
      <w:r>
        <w:rPr>
          <w:color w:val="000000"/>
        </w:rPr>
        <w:t xml:space="preserve"> </w:t>
      </w:r>
      <w:r>
        <w:rPr>
          <w:color w:val="000000"/>
          <w:u w:val="single"/>
        </w:rPr>
        <w:t>In re Dependency of D.E.B.</w:t>
      </w:r>
      <w:r>
        <w:rPr>
          <w:color w:val="000000"/>
        </w:rPr>
        <w:t xml:space="preserve">, 2011 Wash. App. LEXIS 163*, 13 (2011) (holding that counsel’s concession of unfitness did not constitute ineffective assistance of counsel “because the State presented substantial evidence to support the trial court’s finding”); </w:t>
      </w:r>
      <w:r>
        <w:rPr>
          <w:color w:val="000000"/>
          <w:u w:val="single"/>
        </w:rPr>
        <w:t>In re J.W.</w:t>
      </w:r>
      <w:r>
        <w:rPr>
          <w:color w:val="000000"/>
        </w:rPr>
        <w:t>, 2008-Ohio-1423, *P13 (</w:t>
      </w:r>
      <w:r w:rsidR="00791B4E">
        <w:rPr>
          <w:color w:val="000000"/>
        </w:rPr>
        <w:t xml:space="preserve">Ohio Ct. App. </w:t>
      </w:r>
      <w:r>
        <w:rPr>
          <w:color w:val="000000"/>
        </w:rPr>
        <w:t>2008) (concluding that even if counsel essentially conceded unfitness, “appellant cannot satisfy the prejudice prong”).</w:t>
      </w:r>
    </w:p>
    <w:p w:rsidR="0039537B" w:rsidRPr="0039537B" w:rsidRDefault="00791B4E" w:rsidP="0039537B">
      <w:pPr>
        <w:pStyle w:val="NormalWeb"/>
        <w:numPr>
          <w:ilvl w:val="1"/>
          <w:numId w:val="8"/>
        </w:numPr>
        <w:spacing w:before="0" w:beforeAutospacing="0" w:after="200" w:afterAutospacing="0"/>
        <w:textAlignment w:val="baseline"/>
        <w:rPr>
          <w:b/>
          <w:bCs/>
          <w:color w:val="000000"/>
        </w:rPr>
      </w:pPr>
      <w:r>
        <w:rPr>
          <w:b/>
          <w:bCs/>
          <w:color w:val="000000"/>
        </w:rPr>
        <w:t>Application to Father</w:t>
      </w:r>
    </w:p>
    <w:p w:rsidR="004D0B28" w:rsidRDefault="00D8535F" w:rsidP="00365CC4">
      <w:pPr>
        <w:pStyle w:val="NormalWeb"/>
        <w:spacing w:before="0" w:beforeAutospacing="0" w:after="200" w:afterAutospacing="0" w:line="480" w:lineRule="auto"/>
        <w:ind w:firstLine="720"/>
        <w:textAlignment w:val="baseline"/>
        <w:rPr>
          <w:color w:val="000000"/>
        </w:rPr>
      </w:pPr>
      <w:r>
        <w:rPr>
          <w:color w:val="000000"/>
        </w:rPr>
        <w:t>In our case</w:t>
      </w:r>
      <w:r w:rsidR="005873C1">
        <w:rPr>
          <w:color w:val="000000"/>
        </w:rPr>
        <w:t xml:space="preserve">, </w:t>
      </w:r>
      <w:r w:rsidR="005A414E">
        <w:rPr>
          <w:color w:val="000000"/>
        </w:rPr>
        <w:t>Father is unlikely to prevail on a claim of in</w:t>
      </w:r>
      <w:r w:rsidR="00F319C3">
        <w:rPr>
          <w:color w:val="000000"/>
        </w:rPr>
        <w:t xml:space="preserve">effective assistance of counsel. </w:t>
      </w:r>
      <w:r w:rsidR="00A60C35">
        <w:rPr>
          <w:color w:val="000000"/>
        </w:rPr>
        <w:t xml:space="preserve">Even if trial counsel’s conduct </w:t>
      </w:r>
      <w:r w:rsidR="00791B4E">
        <w:rPr>
          <w:color w:val="000000"/>
        </w:rPr>
        <w:t>satisfied</w:t>
      </w:r>
      <w:r w:rsidR="004C75FE">
        <w:rPr>
          <w:color w:val="000000"/>
        </w:rPr>
        <w:t xml:space="preserve"> the first </w:t>
      </w:r>
      <w:r w:rsidR="00B5251D">
        <w:rPr>
          <w:color w:val="000000"/>
        </w:rPr>
        <w:t>prong</w:t>
      </w:r>
      <w:r w:rsidR="00A60C35">
        <w:rPr>
          <w:color w:val="000000"/>
        </w:rPr>
        <w:t xml:space="preserve"> of the </w:t>
      </w:r>
      <w:r w:rsidR="00A60C35" w:rsidRPr="00BA5AAB">
        <w:rPr>
          <w:color w:val="000000"/>
          <w:u w:val="single"/>
        </w:rPr>
        <w:t>Saferian</w:t>
      </w:r>
      <w:r w:rsidR="00A60C35">
        <w:rPr>
          <w:color w:val="000000"/>
        </w:rPr>
        <w:t>/</w:t>
      </w:r>
      <w:r w:rsidR="00A60C35" w:rsidRPr="00BA5AAB">
        <w:rPr>
          <w:color w:val="000000"/>
          <w:u w:val="single"/>
        </w:rPr>
        <w:t>Georgette</w:t>
      </w:r>
      <w:r w:rsidR="00791B4E">
        <w:rPr>
          <w:color w:val="000000"/>
        </w:rPr>
        <w:t xml:space="preserve"> test, </w:t>
      </w:r>
      <w:r w:rsidR="00171A27">
        <w:rPr>
          <w:color w:val="000000"/>
        </w:rPr>
        <w:t>Father’s unstable housing,</w:t>
      </w:r>
      <w:r w:rsidR="00791B4E">
        <w:rPr>
          <w:color w:val="000000"/>
        </w:rPr>
        <w:t xml:space="preserve"> untreated</w:t>
      </w:r>
      <w:r w:rsidR="00A60C35">
        <w:rPr>
          <w:color w:val="000000"/>
        </w:rPr>
        <w:t xml:space="preserve"> </w:t>
      </w:r>
      <w:r w:rsidR="00171A27">
        <w:rPr>
          <w:color w:val="000000"/>
        </w:rPr>
        <w:t>substance abuse, and domestic violence are</w:t>
      </w:r>
      <w:r w:rsidR="00F70AB5">
        <w:rPr>
          <w:color w:val="000000"/>
        </w:rPr>
        <w:t xml:space="preserve"> </w:t>
      </w:r>
      <w:r w:rsidR="00A60C35">
        <w:rPr>
          <w:color w:val="000000"/>
        </w:rPr>
        <w:t>ove</w:t>
      </w:r>
      <w:r w:rsidR="00B5251D">
        <w:rPr>
          <w:color w:val="000000"/>
        </w:rPr>
        <w:t xml:space="preserve">rwhelming (as opposed to </w:t>
      </w:r>
      <w:r w:rsidR="00791B4E">
        <w:rPr>
          <w:color w:val="000000"/>
        </w:rPr>
        <w:t xml:space="preserve">merely </w:t>
      </w:r>
      <w:r w:rsidR="00A60C35">
        <w:rPr>
          <w:color w:val="000000"/>
        </w:rPr>
        <w:t>sufficient) evidence of unfitness</w:t>
      </w:r>
      <w:r w:rsidR="00F70AB5">
        <w:rPr>
          <w:color w:val="000000"/>
        </w:rPr>
        <w:t>.</w:t>
      </w:r>
      <w:r w:rsidR="005873C1">
        <w:rPr>
          <w:color w:val="000000"/>
        </w:rPr>
        <w:t xml:space="preserve"> </w:t>
      </w:r>
      <w:r w:rsidR="005873C1" w:rsidRPr="00456D47">
        <w:rPr>
          <w:color w:val="000000"/>
          <w:u w:val="single"/>
        </w:rPr>
        <w:t>See</w:t>
      </w:r>
      <w:r w:rsidR="005873C1">
        <w:rPr>
          <w:color w:val="000000"/>
        </w:rPr>
        <w:t xml:space="preserve"> </w:t>
      </w:r>
      <w:r w:rsidR="005873C1">
        <w:rPr>
          <w:color w:val="000000"/>
          <w:u w:val="single"/>
        </w:rPr>
        <w:t>Azziza</w:t>
      </w:r>
      <w:r w:rsidR="00A60C35">
        <w:rPr>
          <w:color w:val="000000"/>
        </w:rPr>
        <w:t xml:space="preserve">, 77 Mass. App. Ct. at 364 (holding that </w:t>
      </w:r>
      <w:r w:rsidR="003373A9">
        <w:rPr>
          <w:color w:val="000000"/>
        </w:rPr>
        <w:t>Mother</w:t>
      </w:r>
      <w:r w:rsidR="00B36C61">
        <w:rPr>
          <w:color w:val="000000"/>
        </w:rPr>
        <w:t>’s untreated</w:t>
      </w:r>
      <w:r w:rsidR="003373A9">
        <w:rPr>
          <w:color w:val="000000"/>
        </w:rPr>
        <w:t xml:space="preserve"> substance abuse and history of leaving the children for days at a time constituted overwhelming evidence </w:t>
      </w:r>
      <w:r w:rsidR="00A60C35">
        <w:rPr>
          <w:color w:val="000000"/>
        </w:rPr>
        <w:t xml:space="preserve">of unfitness); </w:t>
      </w:r>
      <w:r w:rsidR="004C75FE">
        <w:rPr>
          <w:color w:val="000000"/>
          <w:u w:val="single"/>
        </w:rPr>
        <w:t>see also</w:t>
      </w:r>
      <w:r w:rsidR="00F70AB5">
        <w:rPr>
          <w:color w:val="000000"/>
        </w:rPr>
        <w:t xml:space="preserve"> </w:t>
      </w:r>
      <w:r w:rsidR="00F70AB5">
        <w:rPr>
          <w:color w:val="000000"/>
          <w:u w:val="single"/>
        </w:rPr>
        <w:t>Adoption of Octavia</w:t>
      </w:r>
      <w:r w:rsidR="00F70AB5">
        <w:rPr>
          <w:color w:val="000000"/>
        </w:rPr>
        <w:t xml:space="preserve">, 2013 Mass. App. Unpub. LEXIS 207, *2 (2013) (concluding that there was no prejudice </w:t>
      </w:r>
      <w:r w:rsidR="004C75FE">
        <w:rPr>
          <w:color w:val="000000"/>
        </w:rPr>
        <w:t>because</w:t>
      </w:r>
      <w:r w:rsidR="00D03947">
        <w:rPr>
          <w:color w:val="000000"/>
        </w:rPr>
        <w:t xml:space="preserve"> mother’s substance abuse</w:t>
      </w:r>
      <w:r w:rsidR="00F70AB5">
        <w:rPr>
          <w:color w:val="000000"/>
        </w:rPr>
        <w:t>, intermittent homelessness</w:t>
      </w:r>
      <w:r w:rsidR="00365CC4">
        <w:rPr>
          <w:color w:val="000000"/>
        </w:rPr>
        <w:t>,</w:t>
      </w:r>
      <w:r w:rsidR="00B5251D">
        <w:rPr>
          <w:color w:val="000000"/>
        </w:rPr>
        <w:t xml:space="preserve"> and inability to parent her </w:t>
      </w:r>
      <w:r w:rsidR="00D03947">
        <w:rPr>
          <w:color w:val="000000"/>
        </w:rPr>
        <w:t xml:space="preserve">other children constituted </w:t>
      </w:r>
      <w:r w:rsidR="00F70AB5">
        <w:rPr>
          <w:color w:val="000000"/>
        </w:rPr>
        <w:t xml:space="preserve">overwhelming evidence of unfitness). </w:t>
      </w:r>
      <w:r w:rsidR="00791B4E">
        <w:rPr>
          <w:color w:val="000000"/>
        </w:rPr>
        <w:t xml:space="preserve">Because the evidence of unfitness was overwhelming, Father cannot prove the second prong—prejudice. Therefore, </w:t>
      </w:r>
      <w:r w:rsidR="004C75FE">
        <w:rPr>
          <w:color w:val="000000"/>
        </w:rPr>
        <w:t xml:space="preserve">a claim of ineffective assistance of counsel will likely be unsuccessful. </w:t>
      </w:r>
    </w:p>
    <w:p w:rsidR="009B66DF" w:rsidRPr="0074619A" w:rsidRDefault="00791B4E" w:rsidP="00DE68C8">
      <w:pPr>
        <w:pStyle w:val="NormalWeb"/>
        <w:spacing w:before="0" w:beforeAutospacing="0" w:after="200" w:afterAutospacing="0" w:line="480" w:lineRule="auto"/>
        <w:ind w:firstLine="720"/>
        <w:rPr>
          <w:u w:val="single"/>
        </w:rPr>
      </w:pPr>
      <w:r>
        <w:rPr>
          <w:color w:val="000000"/>
        </w:rPr>
        <w:t>Note that in different</w:t>
      </w:r>
      <w:r w:rsidR="00DE68C8">
        <w:rPr>
          <w:color w:val="000000"/>
        </w:rPr>
        <w:t xml:space="preserve"> circumstances</w:t>
      </w:r>
      <w:r>
        <w:rPr>
          <w:color w:val="000000"/>
        </w:rPr>
        <w:t xml:space="preserve">—that is, </w:t>
      </w:r>
      <w:r w:rsidR="00DE68C8">
        <w:rPr>
          <w:color w:val="000000"/>
        </w:rPr>
        <w:t xml:space="preserve">where </w:t>
      </w:r>
      <w:r w:rsidR="00CC0328">
        <w:rPr>
          <w:color w:val="000000"/>
        </w:rPr>
        <w:t>there is not ov</w:t>
      </w:r>
      <w:r w:rsidR="00B36C61">
        <w:rPr>
          <w:color w:val="000000"/>
        </w:rPr>
        <w:t>erwhelming evidence</w:t>
      </w:r>
      <w:r w:rsidR="004C75FE">
        <w:rPr>
          <w:color w:val="000000"/>
        </w:rPr>
        <w:t xml:space="preserve"> of unfitness—</w:t>
      </w:r>
      <w:r w:rsidR="00DE68C8">
        <w:rPr>
          <w:color w:val="000000"/>
        </w:rPr>
        <w:t>the unauthorized</w:t>
      </w:r>
      <w:r>
        <w:rPr>
          <w:color w:val="000000"/>
        </w:rPr>
        <w:t xml:space="preserve"> concession of unfitness would probably constitute </w:t>
      </w:r>
      <w:r w:rsidR="00DE68C8">
        <w:rPr>
          <w:color w:val="000000"/>
        </w:rPr>
        <w:t>ineffective assistance of counsel.</w:t>
      </w:r>
      <w:r w:rsidR="00DE68C8">
        <w:t xml:space="preserve"> </w:t>
      </w:r>
      <w:r>
        <w:rPr>
          <w:u w:val="single"/>
        </w:rPr>
        <w:t>See</w:t>
      </w:r>
      <w:r>
        <w:t xml:space="preserve"> </w:t>
      </w:r>
      <w:r w:rsidR="009B66DF">
        <w:rPr>
          <w:color w:val="000000"/>
          <w:u w:val="single"/>
        </w:rPr>
        <w:t>Azziza</w:t>
      </w:r>
      <w:r w:rsidR="009B66DF">
        <w:rPr>
          <w:color w:val="000000"/>
        </w:rPr>
        <w:t>, 77 Mass. App. Ct. at 368</w:t>
      </w:r>
      <w:r w:rsidR="005E6C13">
        <w:rPr>
          <w:color w:val="000000"/>
        </w:rPr>
        <w:t>.</w:t>
      </w:r>
      <w:r>
        <w:rPr>
          <w:color w:val="000000"/>
        </w:rPr>
        <w:t xml:space="preserve"> In order to show the trial court and Appeals Court that the evidence of unfitness is not overwhelming, Father would have to show that he had testimonial and documentary evidence that, had trial counsel proffered it, would have provided some defense to DCF’s allegations. In this case, such rebuttal evidence does not exist. </w:t>
      </w:r>
    </w:p>
    <w:p w:rsidR="000715E1" w:rsidRDefault="000715E1" w:rsidP="0039537B">
      <w:pPr>
        <w:pStyle w:val="NormalWeb"/>
        <w:numPr>
          <w:ilvl w:val="0"/>
          <w:numId w:val="8"/>
        </w:numPr>
        <w:spacing w:before="0" w:beforeAutospacing="0" w:after="200" w:afterAutospacing="0"/>
        <w:textAlignment w:val="baseline"/>
        <w:rPr>
          <w:b/>
          <w:bCs/>
          <w:color w:val="000000"/>
        </w:rPr>
      </w:pPr>
      <w:r>
        <w:rPr>
          <w:b/>
          <w:bCs/>
          <w:color w:val="000000"/>
        </w:rPr>
        <w:t xml:space="preserve">Father may have an argument for constructive </w:t>
      </w:r>
      <w:r w:rsidR="00BB54C5">
        <w:rPr>
          <w:b/>
          <w:bCs/>
          <w:color w:val="000000"/>
        </w:rPr>
        <w:t>denial of counsel</w:t>
      </w:r>
    </w:p>
    <w:p w:rsidR="00791B4E" w:rsidRPr="00791B4E" w:rsidRDefault="00791B4E" w:rsidP="00791B4E">
      <w:pPr>
        <w:pStyle w:val="NormalWeb"/>
        <w:spacing w:before="0" w:beforeAutospacing="0" w:after="200" w:afterAutospacing="0" w:line="480" w:lineRule="auto"/>
        <w:ind w:firstLine="360"/>
        <w:textAlignment w:val="baseline"/>
        <w:rPr>
          <w:bCs/>
          <w:color w:val="000000"/>
        </w:rPr>
      </w:pPr>
      <w:r>
        <w:rPr>
          <w:bCs/>
          <w:color w:val="000000"/>
        </w:rPr>
        <w:t>Father may not, however, be out of luck. His trial counsel’s performance was so poor as to be almost non-existent.</w:t>
      </w:r>
    </w:p>
    <w:p w:rsidR="00FD3AE5" w:rsidRPr="00814F54" w:rsidRDefault="00791B4E" w:rsidP="00814F54">
      <w:pPr>
        <w:pStyle w:val="NormalWeb"/>
        <w:spacing w:before="0" w:beforeAutospacing="0" w:after="200" w:afterAutospacing="0" w:line="480" w:lineRule="auto"/>
        <w:ind w:firstLine="720"/>
        <w:rPr>
          <w:color w:val="000000"/>
        </w:rPr>
      </w:pPr>
      <w:r>
        <w:rPr>
          <w:color w:val="000000"/>
        </w:rPr>
        <w:t>In some cases, a</w:t>
      </w:r>
      <w:r w:rsidR="00FD3AE5">
        <w:rPr>
          <w:color w:val="000000"/>
        </w:rPr>
        <w:t xml:space="preserve">n attorney’s performance may </w:t>
      </w:r>
      <w:r w:rsidR="005F6C1F">
        <w:rPr>
          <w:color w:val="000000"/>
        </w:rPr>
        <w:t>be so poor that it</w:t>
      </w:r>
      <w:r w:rsidR="00FD3AE5">
        <w:rPr>
          <w:color w:val="000000"/>
        </w:rPr>
        <w:t xml:space="preserve"> constitutes a constructive denial of the right to counsel. </w:t>
      </w:r>
      <w:r w:rsidR="00FD3AE5">
        <w:rPr>
          <w:color w:val="000000"/>
          <w:u w:val="single"/>
        </w:rPr>
        <w:t>See</w:t>
      </w:r>
      <w:r w:rsidR="00FD3AE5">
        <w:rPr>
          <w:color w:val="000000"/>
        </w:rPr>
        <w:t xml:space="preserve"> </w:t>
      </w:r>
      <w:r w:rsidR="00F66115">
        <w:rPr>
          <w:color w:val="000000"/>
          <w:u w:val="single"/>
        </w:rPr>
        <w:t>Strickland v. Washington</w:t>
      </w:r>
      <w:r w:rsidR="00F66115">
        <w:rPr>
          <w:color w:val="000000"/>
        </w:rPr>
        <w:t xml:space="preserve">, </w:t>
      </w:r>
      <w:r w:rsidR="0022280F">
        <w:rPr>
          <w:color w:val="000000"/>
        </w:rPr>
        <w:t>466 U.S. 668, 692 (1984).</w:t>
      </w:r>
      <w:r w:rsidR="00F66115">
        <w:rPr>
          <w:color w:val="000000"/>
        </w:rPr>
        <w:t xml:space="preserve"> </w:t>
      </w:r>
      <w:r w:rsidR="002310A6">
        <w:rPr>
          <w:color w:val="000000"/>
        </w:rPr>
        <w:t xml:space="preserve">Constructive denial of counsel occurs when there is a complete breakdown of the adversarial system during a critical stage of the proceeding. </w:t>
      </w:r>
      <w:r w:rsidR="002310A6">
        <w:rPr>
          <w:color w:val="000000"/>
          <w:u w:val="single"/>
        </w:rPr>
        <w:t>See</w:t>
      </w:r>
      <w:r w:rsidR="002310A6" w:rsidRPr="00647337">
        <w:rPr>
          <w:color w:val="000000"/>
        </w:rPr>
        <w:t xml:space="preserve">, </w:t>
      </w:r>
      <w:r w:rsidR="002310A6" w:rsidRPr="00647337">
        <w:rPr>
          <w:color w:val="000000"/>
          <w:u w:val="single"/>
        </w:rPr>
        <w:t>e.g.</w:t>
      </w:r>
      <w:r w:rsidR="002310A6" w:rsidRPr="00647337">
        <w:rPr>
          <w:color w:val="000000"/>
        </w:rPr>
        <w:t>,</w:t>
      </w:r>
      <w:r w:rsidR="002310A6">
        <w:rPr>
          <w:color w:val="000000"/>
        </w:rPr>
        <w:t xml:space="preserve"> </w:t>
      </w:r>
      <w:r w:rsidR="00F66115">
        <w:rPr>
          <w:color w:val="000000"/>
          <w:u w:val="single"/>
        </w:rPr>
        <w:t>United States v. Cronic</w:t>
      </w:r>
      <w:r w:rsidR="00F66115">
        <w:rPr>
          <w:color w:val="000000"/>
        </w:rPr>
        <w:t>, 466 U.S. 648, 658 (1984).</w:t>
      </w:r>
      <w:r w:rsidR="002310A6">
        <w:rPr>
          <w:color w:val="000000"/>
        </w:rPr>
        <w:t xml:space="preserve"> </w:t>
      </w:r>
      <w:r w:rsidR="00D3589E">
        <w:rPr>
          <w:color w:val="000000"/>
        </w:rPr>
        <w:t>Because there is no</w:t>
      </w:r>
      <w:r w:rsidR="004C25F3">
        <w:rPr>
          <w:color w:val="000000"/>
        </w:rPr>
        <w:t xml:space="preserve"> reliable </w:t>
      </w:r>
      <w:r w:rsidR="0000692E">
        <w:rPr>
          <w:color w:val="000000"/>
        </w:rPr>
        <w:t>measure</w:t>
      </w:r>
      <w:r w:rsidR="004C25F3">
        <w:rPr>
          <w:color w:val="000000"/>
        </w:rPr>
        <w:t xml:space="preserve"> of prejudice </w:t>
      </w:r>
      <w:r w:rsidR="00365048">
        <w:rPr>
          <w:color w:val="000000"/>
        </w:rPr>
        <w:t>from the constructive denial of counsel</w:t>
      </w:r>
      <w:r w:rsidR="00924C15">
        <w:rPr>
          <w:color w:val="000000"/>
        </w:rPr>
        <w:t>,</w:t>
      </w:r>
      <w:r w:rsidR="004C25F3">
        <w:rPr>
          <w:color w:val="000000"/>
        </w:rPr>
        <w:t xml:space="preserve"> </w:t>
      </w:r>
      <w:r w:rsidR="00924C15">
        <w:rPr>
          <w:color w:val="000000"/>
        </w:rPr>
        <w:t>prejudice is assumed</w:t>
      </w:r>
      <w:r w:rsidR="00FD3AE5">
        <w:rPr>
          <w:color w:val="000000"/>
        </w:rPr>
        <w:t xml:space="preserve">. </w:t>
      </w:r>
      <w:r w:rsidR="00FD3AE5">
        <w:rPr>
          <w:color w:val="000000"/>
          <w:u w:val="single"/>
        </w:rPr>
        <w:t>See</w:t>
      </w:r>
      <w:r w:rsidR="00FD3AE5">
        <w:rPr>
          <w:color w:val="000000"/>
        </w:rPr>
        <w:t xml:space="preserve"> </w:t>
      </w:r>
      <w:r w:rsidR="00FD3AE5">
        <w:rPr>
          <w:color w:val="000000"/>
          <w:u w:val="single"/>
        </w:rPr>
        <w:t>United States v. Gonzalez-Lopez</w:t>
      </w:r>
      <w:r w:rsidR="00FD3AE5">
        <w:rPr>
          <w:color w:val="000000"/>
        </w:rPr>
        <w:t>, 548 U.S. 140, 150 (2006) (reasoning that a harmless error analysis “would be a speculative inquiry into what might have occurre</w:t>
      </w:r>
      <w:r w:rsidR="00D3589E">
        <w:rPr>
          <w:color w:val="000000"/>
        </w:rPr>
        <w:t>d in an alternative universe”);</w:t>
      </w:r>
      <w:r w:rsidR="00FD3AE5">
        <w:rPr>
          <w:color w:val="000000"/>
        </w:rPr>
        <w:t xml:space="preserve"> </w:t>
      </w:r>
      <w:r w:rsidR="00BA5AAB" w:rsidRPr="00BA5AAB">
        <w:rPr>
          <w:color w:val="000000"/>
          <w:u w:val="single"/>
        </w:rPr>
        <w:t>see also</w:t>
      </w:r>
      <w:r w:rsidR="00BA5AAB">
        <w:rPr>
          <w:color w:val="000000"/>
        </w:rPr>
        <w:t xml:space="preserve"> </w:t>
      </w:r>
      <w:r w:rsidR="00FD3AE5">
        <w:rPr>
          <w:color w:val="000000"/>
          <w:u w:val="single"/>
        </w:rPr>
        <w:t>Commonwealth v. Goodman</w:t>
      </w:r>
      <w:r w:rsidR="00FD3AE5">
        <w:rPr>
          <w:color w:val="000000"/>
        </w:rPr>
        <w:t xml:space="preserve">, 60 Mass. App. Ct. 605, 609 (2014) (reasoning that deprivation of the right to counsel </w:t>
      </w:r>
      <w:r w:rsidR="00D3589E">
        <w:rPr>
          <w:color w:val="000000"/>
        </w:rPr>
        <w:t>is never</w:t>
      </w:r>
      <w:r w:rsidR="00FD3AE5">
        <w:rPr>
          <w:color w:val="000000"/>
        </w:rPr>
        <w:t xml:space="preserve"> harmless because it so infringes on the defendant’s right to a fair trial).</w:t>
      </w:r>
      <w:r w:rsidR="005B7A0C" w:rsidRPr="005B7A0C">
        <w:rPr>
          <w:color w:val="000000"/>
        </w:rPr>
        <w:t xml:space="preserve"> </w:t>
      </w:r>
      <w:r w:rsidR="005B7A0C">
        <w:rPr>
          <w:color w:val="000000"/>
        </w:rPr>
        <w:t xml:space="preserve">The reasoning of these criminal cases also applies in the child welfare context. </w:t>
      </w:r>
      <w:r w:rsidR="005B7A0C">
        <w:rPr>
          <w:color w:val="000000"/>
          <w:u w:val="single"/>
        </w:rPr>
        <w:t>See</w:t>
      </w:r>
      <w:r w:rsidR="00A23642" w:rsidRPr="00A23642">
        <w:rPr>
          <w:color w:val="000000"/>
        </w:rPr>
        <w:t xml:space="preserve"> </w:t>
      </w:r>
      <w:r w:rsidR="00A23642" w:rsidRPr="00176E98">
        <w:rPr>
          <w:color w:val="000000"/>
        </w:rPr>
        <w:t xml:space="preserve">Vivek S. Sankaran, </w:t>
      </w:r>
      <w:r w:rsidR="00A23642" w:rsidRPr="00176E98">
        <w:rPr>
          <w:color w:val="000000"/>
          <w:u w:val="single"/>
        </w:rPr>
        <w:t>No Harm, No Foul? Why Harmless Error Analysis Should Not Be Used to Review Wrongful Denials of Counsel to Parents in Child Welfare Cases</w:t>
      </w:r>
      <w:r w:rsidR="00A23642" w:rsidRPr="00176E98">
        <w:rPr>
          <w:color w:val="000000"/>
        </w:rPr>
        <w:t>, 6</w:t>
      </w:r>
      <w:r w:rsidR="00A23642">
        <w:rPr>
          <w:color w:val="000000"/>
        </w:rPr>
        <w:t xml:space="preserve">3 S.C. L. Rev. 13, 14 </w:t>
      </w:r>
      <w:r w:rsidR="00A23642" w:rsidRPr="00176E98">
        <w:rPr>
          <w:color w:val="000000"/>
        </w:rPr>
        <w:t xml:space="preserve">(2011) </w:t>
      </w:r>
      <w:r w:rsidR="005B7A0C">
        <w:rPr>
          <w:color w:val="000000"/>
        </w:rPr>
        <w:t>(noting that in child welfare proceedings the overwhelming majority of jurisdictions treat wrongful denial of counsel as</w:t>
      </w:r>
      <w:r w:rsidR="00A23642">
        <w:rPr>
          <w:color w:val="000000"/>
        </w:rPr>
        <w:t xml:space="preserve"> warranting immediate reversal); </w:t>
      </w:r>
      <w:r w:rsidR="00A23642">
        <w:rPr>
          <w:color w:val="000000"/>
          <w:u w:val="single"/>
        </w:rPr>
        <w:t>see also</w:t>
      </w:r>
      <w:r w:rsidR="00A23642">
        <w:rPr>
          <w:color w:val="000000"/>
        </w:rPr>
        <w:t xml:space="preserve"> </w:t>
      </w:r>
      <w:r w:rsidR="00A23642">
        <w:rPr>
          <w:color w:val="000000"/>
          <w:u w:val="single"/>
        </w:rPr>
        <w:t>In the Interest of K.B.</w:t>
      </w:r>
      <w:r w:rsidR="00A23642">
        <w:rPr>
          <w:color w:val="000000"/>
        </w:rPr>
        <w:t>, 2017 Tex. App. LEXIS 877</w:t>
      </w:r>
      <w:r w:rsidR="00C83F56">
        <w:rPr>
          <w:color w:val="000000"/>
        </w:rPr>
        <w:t>8</w:t>
      </w:r>
      <w:r>
        <w:rPr>
          <w:color w:val="000000"/>
        </w:rPr>
        <w:t xml:space="preserve">, 16 </w:t>
      </w:r>
      <w:r w:rsidR="00A23642">
        <w:rPr>
          <w:color w:val="000000"/>
        </w:rPr>
        <w:t xml:space="preserve">(2017) (holding that </w:t>
      </w:r>
      <w:r w:rsidR="00C83F56">
        <w:rPr>
          <w:color w:val="000000"/>
        </w:rPr>
        <w:t xml:space="preserve">“the record need not establish a specific showing of prejudice” because </w:t>
      </w:r>
      <w:r w:rsidR="00171A27">
        <w:rPr>
          <w:color w:val="000000"/>
        </w:rPr>
        <w:t>parent</w:t>
      </w:r>
      <w:r w:rsidR="00A23642">
        <w:rPr>
          <w:color w:val="000000"/>
        </w:rPr>
        <w:t xml:space="preserve"> met the burden of establishing constructive denial of counsel).</w:t>
      </w:r>
    </w:p>
    <w:p w:rsidR="002917B4" w:rsidRDefault="0000692E" w:rsidP="007E2D0F">
      <w:pPr>
        <w:pStyle w:val="NormalWeb"/>
        <w:spacing w:before="0" w:beforeAutospacing="0" w:after="200" w:afterAutospacing="0" w:line="480" w:lineRule="auto"/>
        <w:ind w:firstLine="720"/>
        <w:rPr>
          <w:color w:val="000000"/>
        </w:rPr>
      </w:pPr>
      <w:r>
        <w:rPr>
          <w:color w:val="000000"/>
        </w:rPr>
        <w:t xml:space="preserve">In </w:t>
      </w:r>
      <w:r w:rsidRPr="00677D3B">
        <w:rPr>
          <w:color w:val="000000"/>
          <w:u w:val="single"/>
        </w:rPr>
        <w:t>Cronic</w:t>
      </w:r>
      <w:r>
        <w:rPr>
          <w:color w:val="000000"/>
        </w:rPr>
        <w:t xml:space="preserve">, the </w:t>
      </w:r>
      <w:r w:rsidR="00FD3AE5" w:rsidRPr="0000692E">
        <w:rPr>
          <w:color w:val="000000"/>
        </w:rPr>
        <w:t>Supreme</w:t>
      </w:r>
      <w:r>
        <w:rPr>
          <w:color w:val="000000"/>
        </w:rPr>
        <w:t xml:space="preserve"> Court </w:t>
      </w:r>
      <w:r w:rsidR="00FD3AE5">
        <w:rPr>
          <w:color w:val="000000"/>
        </w:rPr>
        <w:t>pos</w:t>
      </w:r>
      <w:r w:rsidR="00D3589E">
        <w:rPr>
          <w:color w:val="000000"/>
        </w:rPr>
        <w:t>i</w:t>
      </w:r>
      <w:r w:rsidR="005F6C1F">
        <w:rPr>
          <w:color w:val="000000"/>
        </w:rPr>
        <w:t>ted three situations that</w:t>
      </w:r>
      <w:r w:rsidR="00FD3AE5">
        <w:rPr>
          <w:color w:val="000000"/>
        </w:rPr>
        <w:t xml:space="preserve"> </w:t>
      </w:r>
      <w:r>
        <w:rPr>
          <w:color w:val="000000"/>
        </w:rPr>
        <w:t xml:space="preserve">constitute </w:t>
      </w:r>
      <w:r w:rsidR="00C362AA">
        <w:rPr>
          <w:color w:val="000000"/>
        </w:rPr>
        <w:t xml:space="preserve">constructive </w:t>
      </w:r>
      <w:r w:rsidR="00677D3B">
        <w:rPr>
          <w:color w:val="000000"/>
        </w:rPr>
        <w:t xml:space="preserve">denial of counsel: (1) </w:t>
      </w:r>
      <w:r w:rsidR="00FD3AE5">
        <w:rPr>
          <w:color w:val="000000"/>
        </w:rPr>
        <w:t>denial of counsel at a critical stage; (2)</w:t>
      </w:r>
      <w:r>
        <w:rPr>
          <w:color w:val="000000"/>
        </w:rPr>
        <w:t xml:space="preserve"> counsel’s complete failure to provide a </w:t>
      </w:r>
      <w:r w:rsidR="00FD3AE5">
        <w:rPr>
          <w:color w:val="000000"/>
        </w:rPr>
        <w:t>meaningful adversarial test; and (3) situations in which, although counsel is available</w:t>
      </w:r>
      <w:r w:rsidR="00677D3B">
        <w:rPr>
          <w:color w:val="000000"/>
        </w:rPr>
        <w:t>, the circumstances</w:t>
      </w:r>
      <w:r w:rsidR="00FD3AE5">
        <w:rPr>
          <w:color w:val="000000"/>
        </w:rPr>
        <w:t xml:space="preserve"> would render even a fully competent lawyer unlikely to provide effective assistance.</w:t>
      </w:r>
      <w:r w:rsidR="00896CE9">
        <w:rPr>
          <w:color w:val="000000"/>
        </w:rPr>
        <w:t xml:space="preserve"> </w:t>
      </w:r>
      <w:r w:rsidR="00896CE9">
        <w:rPr>
          <w:color w:val="000000"/>
          <w:u w:val="single"/>
        </w:rPr>
        <w:t>Cronic</w:t>
      </w:r>
      <w:r w:rsidR="00896CE9">
        <w:rPr>
          <w:color w:val="000000"/>
        </w:rPr>
        <w:t>,</w:t>
      </w:r>
      <w:r w:rsidR="00FD3AE5">
        <w:rPr>
          <w:color w:val="000000"/>
        </w:rPr>
        <w:t xml:space="preserve"> 466 U.S. at</w:t>
      </w:r>
      <w:r w:rsidR="00677D3B">
        <w:rPr>
          <w:color w:val="000000"/>
        </w:rPr>
        <w:t xml:space="preserve"> 658.</w:t>
      </w:r>
      <w:r w:rsidR="004942A1">
        <w:rPr>
          <w:color w:val="000000"/>
        </w:rPr>
        <w:t xml:space="preserve"> </w:t>
      </w:r>
      <w:r w:rsidR="00FD3AE5">
        <w:rPr>
          <w:color w:val="000000"/>
        </w:rPr>
        <w:t>While there is no</w:t>
      </w:r>
      <w:r w:rsidR="00677D3B">
        <w:rPr>
          <w:color w:val="000000"/>
        </w:rPr>
        <w:t xml:space="preserve"> Massachusetts case law </w:t>
      </w:r>
      <w:r w:rsidR="00FD3AE5">
        <w:rPr>
          <w:color w:val="000000"/>
        </w:rPr>
        <w:t>explicitly defining “critical stage” in child welfare proceedings, other jurisdictions hav</w:t>
      </w:r>
      <w:r w:rsidR="00176E98">
        <w:rPr>
          <w:color w:val="000000"/>
        </w:rPr>
        <w:t xml:space="preserve">e suggested that, at a minimum, </w:t>
      </w:r>
      <w:r w:rsidR="00FD3AE5">
        <w:rPr>
          <w:color w:val="000000"/>
        </w:rPr>
        <w:t>trial constitutes a “critical stage.”  </w:t>
      </w:r>
      <w:r w:rsidR="00FD3AE5">
        <w:rPr>
          <w:color w:val="000000"/>
          <w:u w:val="single"/>
        </w:rPr>
        <w:t xml:space="preserve">See </w:t>
      </w:r>
      <w:r w:rsidR="00FD3AE5">
        <w:rPr>
          <w:color w:val="000000"/>
        </w:rPr>
        <w:t> </w:t>
      </w:r>
      <w:r w:rsidR="00FD3AE5">
        <w:rPr>
          <w:color w:val="000000"/>
          <w:u w:val="single"/>
        </w:rPr>
        <w:t>A.P. v. Kentucky</w:t>
      </w:r>
      <w:r w:rsidR="00FD3AE5">
        <w:rPr>
          <w:color w:val="000000"/>
        </w:rPr>
        <w:t xml:space="preserve">, 270 </w:t>
      </w:r>
      <w:r w:rsidR="00D3589E">
        <w:rPr>
          <w:color w:val="000000"/>
        </w:rPr>
        <w:t>S.W.3d 418, 421 (Ky. App. 2008);</w:t>
      </w:r>
      <w:r w:rsidR="00D3589E" w:rsidRPr="00D3589E">
        <w:rPr>
          <w:color w:val="000000"/>
        </w:rPr>
        <w:t xml:space="preserve"> </w:t>
      </w:r>
      <w:r w:rsidR="00D3589E">
        <w:rPr>
          <w:color w:val="000000"/>
          <w:u w:val="single"/>
        </w:rPr>
        <w:t>s</w:t>
      </w:r>
      <w:r w:rsidR="00D3589E" w:rsidRPr="00176E98">
        <w:rPr>
          <w:color w:val="000000"/>
          <w:u w:val="single"/>
        </w:rPr>
        <w:t>ee</w:t>
      </w:r>
      <w:r w:rsidR="00D3589E">
        <w:rPr>
          <w:color w:val="000000"/>
          <w:u w:val="single"/>
        </w:rPr>
        <w:t xml:space="preserve"> also</w:t>
      </w:r>
      <w:r w:rsidR="00D3589E" w:rsidRPr="00D3589E">
        <w:rPr>
          <w:color w:val="000000"/>
        </w:rPr>
        <w:t xml:space="preserve"> </w:t>
      </w:r>
      <w:r w:rsidR="00A23642">
        <w:rPr>
          <w:color w:val="000000"/>
        </w:rPr>
        <w:t xml:space="preserve">Sankaran, </w:t>
      </w:r>
      <w:r w:rsidR="00A23642">
        <w:rPr>
          <w:color w:val="000000"/>
          <w:u w:val="single"/>
        </w:rPr>
        <w:t>supra</w:t>
      </w:r>
      <w:r w:rsidR="00A23642">
        <w:rPr>
          <w:color w:val="000000"/>
        </w:rPr>
        <w:t>, at 21</w:t>
      </w:r>
      <w:r w:rsidR="00D3589E" w:rsidRPr="00176E98">
        <w:rPr>
          <w:color w:val="000000"/>
        </w:rPr>
        <w:t xml:space="preserve"> (contending that every stage of a care and protection proceeding should be considered a “critical stage”</w:t>
      </w:r>
      <w:r w:rsidR="00D3589E">
        <w:rPr>
          <w:color w:val="000000"/>
        </w:rPr>
        <w:t>).</w:t>
      </w:r>
    </w:p>
    <w:p w:rsidR="000E38B9" w:rsidRPr="000E38B9" w:rsidRDefault="00814F54" w:rsidP="000E38B9">
      <w:pPr>
        <w:pStyle w:val="NormalWeb"/>
        <w:numPr>
          <w:ilvl w:val="1"/>
          <w:numId w:val="8"/>
        </w:numPr>
        <w:spacing w:before="0" w:beforeAutospacing="0" w:after="200" w:afterAutospacing="0"/>
        <w:textAlignment w:val="baseline"/>
        <w:rPr>
          <w:b/>
          <w:bCs/>
          <w:color w:val="000000"/>
        </w:rPr>
      </w:pPr>
      <w:r>
        <w:rPr>
          <w:b/>
          <w:bCs/>
          <w:color w:val="000000"/>
        </w:rPr>
        <w:t xml:space="preserve">Concession of unfitness as </w:t>
      </w:r>
      <w:r w:rsidR="005B7A0C">
        <w:rPr>
          <w:b/>
          <w:bCs/>
          <w:color w:val="000000"/>
        </w:rPr>
        <w:t>failure to provide a meaningful adversarial test</w:t>
      </w:r>
    </w:p>
    <w:p w:rsidR="00D058F4" w:rsidRDefault="00D3589E" w:rsidP="00542F6C">
      <w:pPr>
        <w:pStyle w:val="NormalWeb"/>
        <w:spacing w:before="0" w:beforeAutospacing="0" w:after="200" w:afterAutospacing="0" w:line="480" w:lineRule="auto"/>
        <w:ind w:firstLine="720"/>
        <w:rPr>
          <w:color w:val="000000"/>
        </w:rPr>
      </w:pPr>
      <w:r>
        <w:rPr>
          <w:color w:val="000000"/>
        </w:rPr>
        <w:t>The only r</w:t>
      </w:r>
      <w:r w:rsidR="005F6C1F">
        <w:rPr>
          <w:color w:val="000000"/>
        </w:rPr>
        <w:t xml:space="preserve">elevant situation posed by our </w:t>
      </w:r>
      <w:r>
        <w:rPr>
          <w:color w:val="000000"/>
        </w:rPr>
        <w:t xml:space="preserve">case is (2), counsel’s failure to provide a meaningful adversarial test to DCF’s case against Father. </w:t>
      </w:r>
      <w:r w:rsidR="005F6C1F">
        <w:rPr>
          <w:color w:val="000000"/>
        </w:rPr>
        <w:t>This may occur</w:t>
      </w:r>
      <w:r w:rsidR="00FD3AE5">
        <w:rPr>
          <w:color w:val="000000"/>
        </w:rPr>
        <w:t xml:space="preserve"> </w:t>
      </w:r>
      <w:r w:rsidR="00BC30C1">
        <w:rPr>
          <w:color w:val="000000"/>
        </w:rPr>
        <w:t>where</w:t>
      </w:r>
      <w:r w:rsidR="00FD3AE5">
        <w:rPr>
          <w:color w:val="000000"/>
        </w:rPr>
        <w:t xml:space="preserve"> counsel </w:t>
      </w:r>
      <w:r w:rsidR="00FD3AE5" w:rsidRPr="005F6C1F">
        <w:rPr>
          <w:i/>
          <w:color w:val="000000"/>
        </w:rPr>
        <w:t xml:space="preserve">appears </w:t>
      </w:r>
      <w:r w:rsidR="00FD3AE5">
        <w:rPr>
          <w:color w:val="000000"/>
        </w:rPr>
        <w:t xml:space="preserve">to mount a defense but concedes the only substantive issue of the case. </w:t>
      </w:r>
      <w:r w:rsidR="00FD3AE5" w:rsidRPr="00A4453B">
        <w:rPr>
          <w:color w:val="000000"/>
          <w:u w:val="single"/>
        </w:rPr>
        <w:t>See</w:t>
      </w:r>
      <w:r w:rsidR="001520C1" w:rsidRPr="00647337">
        <w:rPr>
          <w:color w:val="000000"/>
        </w:rPr>
        <w:t xml:space="preserve">, </w:t>
      </w:r>
      <w:r w:rsidR="001520C1" w:rsidRPr="00647337">
        <w:rPr>
          <w:color w:val="000000"/>
          <w:u w:val="single"/>
        </w:rPr>
        <w:t>e.g.</w:t>
      </w:r>
      <w:r w:rsidR="001520C1" w:rsidRPr="00647337">
        <w:rPr>
          <w:color w:val="000000"/>
        </w:rPr>
        <w:t xml:space="preserve">, </w:t>
      </w:r>
      <w:r w:rsidR="00FD3AE5">
        <w:rPr>
          <w:color w:val="000000"/>
          <w:u w:val="single"/>
        </w:rPr>
        <w:t>United States v. Swanson</w:t>
      </w:r>
      <w:r w:rsidR="00FD3AE5">
        <w:rPr>
          <w:color w:val="000000"/>
        </w:rPr>
        <w:t>, 943</w:t>
      </w:r>
      <w:r w:rsidR="00582370">
        <w:rPr>
          <w:color w:val="000000"/>
        </w:rPr>
        <w:t xml:space="preserve"> F.2d 1070, 1071</w:t>
      </w:r>
      <w:r w:rsidR="00850F2E">
        <w:rPr>
          <w:color w:val="000000"/>
        </w:rPr>
        <w:t xml:space="preserve"> (9</w:t>
      </w:r>
      <w:r w:rsidR="00850F2E" w:rsidRPr="00850F2E">
        <w:rPr>
          <w:color w:val="000000"/>
        </w:rPr>
        <w:t>th</w:t>
      </w:r>
      <w:r w:rsidR="00850F2E">
        <w:rPr>
          <w:color w:val="000000"/>
        </w:rPr>
        <w:t xml:space="preserve"> Cir. 1991)</w:t>
      </w:r>
      <w:r w:rsidR="00582370">
        <w:rPr>
          <w:color w:val="000000"/>
        </w:rPr>
        <w:t xml:space="preserve"> (holding that</w:t>
      </w:r>
      <w:r w:rsidR="00F45B5D">
        <w:rPr>
          <w:color w:val="000000"/>
        </w:rPr>
        <w:t xml:space="preserve"> </w:t>
      </w:r>
      <w:r w:rsidR="00CC0F0D">
        <w:rPr>
          <w:color w:val="000000"/>
        </w:rPr>
        <w:t>conceding</w:t>
      </w:r>
      <w:r w:rsidR="00FD3AE5">
        <w:rPr>
          <w:color w:val="000000"/>
        </w:rPr>
        <w:t xml:space="preserve"> </w:t>
      </w:r>
      <w:r w:rsidR="00791B4E">
        <w:rPr>
          <w:color w:val="000000"/>
        </w:rPr>
        <w:t xml:space="preserve">that </w:t>
      </w:r>
      <w:r w:rsidR="00FD3AE5">
        <w:rPr>
          <w:color w:val="000000"/>
        </w:rPr>
        <w:t xml:space="preserve">there was no </w:t>
      </w:r>
      <w:r w:rsidR="004006D0">
        <w:rPr>
          <w:color w:val="000000"/>
        </w:rPr>
        <w:t xml:space="preserve">reasonable doubt concerning </w:t>
      </w:r>
      <w:r w:rsidR="00FD3AE5">
        <w:rPr>
          <w:color w:val="000000"/>
        </w:rPr>
        <w:t xml:space="preserve">client’s guilt </w:t>
      </w:r>
      <w:r w:rsidR="00002E3A">
        <w:rPr>
          <w:color w:val="000000"/>
        </w:rPr>
        <w:t xml:space="preserve">constitutes </w:t>
      </w:r>
      <w:r w:rsidR="00FD3AE5">
        <w:rPr>
          <w:color w:val="000000"/>
        </w:rPr>
        <w:t>constructive denial of counsel).</w:t>
      </w:r>
      <w:r w:rsidR="00542F6C">
        <w:rPr>
          <w:color w:val="000000"/>
        </w:rPr>
        <w:t xml:space="preserve"> C</w:t>
      </w:r>
      <w:r w:rsidR="00FD3AE5">
        <w:rPr>
          <w:color w:val="000000"/>
        </w:rPr>
        <w:t xml:space="preserve">ounsel’s concession of </w:t>
      </w:r>
      <w:r w:rsidR="00582370">
        <w:rPr>
          <w:color w:val="000000"/>
        </w:rPr>
        <w:t>some</w:t>
      </w:r>
      <w:r w:rsidR="009219A2">
        <w:rPr>
          <w:color w:val="000000"/>
        </w:rPr>
        <w:t xml:space="preserve"> </w:t>
      </w:r>
      <w:r w:rsidR="00582370">
        <w:rPr>
          <w:color w:val="000000"/>
        </w:rPr>
        <w:t>issues</w:t>
      </w:r>
      <w:r w:rsidR="009219A2">
        <w:rPr>
          <w:color w:val="000000"/>
        </w:rPr>
        <w:t xml:space="preserve"> (as opposed to all)</w:t>
      </w:r>
      <w:r w:rsidR="00FD3AE5">
        <w:rPr>
          <w:color w:val="000000"/>
        </w:rPr>
        <w:t xml:space="preserve"> does not necessarily rise to the level of a constructive denial of counsel. </w:t>
      </w:r>
      <w:r w:rsidR="00FD3AE5" w:rsidRPr="00A4453B">
        <w:rPr>
          <w:color w:val="000000"/>
          <w:u w:val="single"/>
        </w:rPr>
        <w:t>See</w:t>
      </w:r>
      <w:r w:rsidR="00FD3AE5" w:rsidRPr="00647337">
        <w:rPr>
          <w:color w:val="000000"/>
        </w:rPr>
        <w:t xml:space="preserve">, </w:t>
      </w:r>
      <w:r w:rsidR="00FD3AE5" w:rsidRPr="00A4453B">
        <w:rPr>
          <w:color w:val="000000"/>
          <w:u w:val="single"/>
        </w:rPr>
        <w:t>e.g.</w:t>
      </w:r>
      <w:r w:rsidR="00FD3AE5" w:rsidRPr="00647337">
        <w:rPr>
          <w:color w:val="000000"/>
        </w:rPr>
        <w:t>,</w:t>
      </w:r>
      <w:r w:rsidR="00FD3AE5">
        <w:rPr>
          <w:color w:val="000000"/>
        </w:rPr>
        <w:t xml:space="preserve"> </w:t>
      </w:r>
      <w:r w:rsidR="00FD3AE5">
        <w:rPr>
          <w:color w:val="000000"/>
          <w:u w:val="single"/>
        </w:rPr>
        <w:t>Commonwealth v. Velez</w:t>
      </w:r>
      <w:r w:rsidR="00FD3AE5">
        <w:rPr>
          <w:color w:val="000000"/>
        </w:rPr>
        <w:t>, 77 Mass. App. Ct. 270, 276 (2010)</w:t>
      </w:r>
      <w:r w:rsidR="008A5653">
        <w:rPr>
          <w:color w:val="000000"/>
        </w:rPr>
        <w:t>.</w:t>
      </w:r>
      <w:r w:rsidR="000E38B9">
        <w:rPr>
          <w:color w:val="000000"/>
        </w:rPr>
        <w:t xml:space="preserve"> </w:t>
      </w:r>
      <w:r w:rsidR="00D058F4">
        <w:rPr>
          <w:color w:val="000000"/>
        </w:rPr>
        <w:t xml:space="preserve">In </w:t>
      </w:r>
      <w:r w:rsidR="00D058F4">
        <w:rPr>
          <w:color w:val="000000"/>
          <w:u w:val="single"/>
        </w:rPr>
        <w:t>Velez</w:t>
      </w:r>
      <w:r w:rsidR="00542F6C">
        <w:rPr>
          <w:color w:val="000000"/>
        </w:rPr>
        <w:t>,</w:t>
      </w:r>
      <w:r w:rsidR="005F6C1F">
        <w:rPr>
          <w:color w:val="000000"/>
        </w:rPr>
        <w:t xml:space="preserve"> </w:t>
      </w:r>
      <w:r w:rsidR="0001102C">
        <w:rPr>
          <w:color w:val="000000"/>
        </w:rPr>
        <w:t>d</w:t>
      </w:r>
      <w:r w:rsidR="001520C1">
        <w:rPr>
          <w:color w:val="000000"/>
        </w:rPr>
        <w:t xml:space="preserve">efense counsel </w:t>
      </w:r>
      <w:r w:rsidR="00D058F4">
        <w:rPr>
          <w:color w:val="000000"/>
        </w:rPr>
        <w:t>conceded</w:t>
      </w:r>
      <w:r w:rsidR="00791B4E">
        <w:rPr>
          <w:color w:val="000000"/>
        </w:rPr>
        <w:t xml:space="preserve"> the defendant’s responsibility </w:t>
      </w:r>
      <w:r w:rsidR="001520C1">
        <w:rPr>
          <w:color w:val="000000"/>
        </w:rPr>
        <w:t xml:space="preserve">for some of the crimes charged </w:t>
      </w:r>
      <w:r w:rsidR="00171A27">
        <w:rPr>
          <w:color w:val="000000"/>
        </w:rPr>
        <w:t>and used the trial as</w:t>
      </w:r>
      <w:r w:rsidR="00D058F4">
        <w:rPr>
          <w:color w:val="000000"/>
        </w:rPr>
        <w:t xml:space="preserve"> an extended effort to seek lenienc</w:t>
      </w:r>
      <w:r w:rsidR="000E38B9">
        <w:rPr>
          <w:color w:val="000000"/>
        </w:rPr>
        <w:t xml:space="preserve">y in sentencing. Citing </w:t>
      </w:r>
      <w:r w:rsidR="000E38B9">
        <w:rPr>
          <w:color w:val="000000"/>
          <w:u w:val="single"/>
        </w:rPr>
        <w:t xml:space="preserve">Bell v. </w:t>
      </w:r>
      <w:r w:rsidR="000E38B9" w:rsidRPr="000E38B9">
        <w:rPr>
          <w:color w:val="000000"/>
          <w:u w:val="single"/>
        </w:rPr>
        <w:t>Cone</w:t>
      </w:r>
      <w:r w:rsidR="000E38B9">
        <w:rPr>
          <w:color w:val="000000"/>
        </w:rPr>
        <w:t xml:space="preserve">, </w:t>
      </w:r>
      <w:r w:rsidR="000E38B9" w:rsidRPr="000E38B9">
        <w:rPr>
          <w:color w:val="000000"/>
        </w:rPr>
        <w:t>535</w:t>
      </w:r>
      <w:r w:rsidR="000E38B9">
        <w:rPr>
          <w:color w:val="000000"/>
        </w:rPr>
        <w:t xml:space="preserve"> U.S. 685, 697 (2002), </w:t>
      </w:r>
      <w:r w:rsidR="00542F6C">
        <w:rPr>
          <w:color w:val="000000"/>
        </w:rPr>
        <w:t xml:space="preserve">the Appeals Court reasoned </w:t>
      </w:r>
      <w:r w:rsidR="001520C1">
        <w:rPr>
          <w:color w:val="000000"/>
        </w:rPr>
        <w:t xml:space="preserve">that there was not a </w:t>
      </w:r>
      <w:r w:rsidR="000E38B9">
        <w:rPr>
          <w:color w:val="000000"/>
        </w:rPr>
        <w:t>“</w:t>
      </w:r>
      <w:r w:rsidR="001520C1">
        <w:rPr>
          <w:color w:val="000000"/>
        </w:rPr>
        <w:t>complete</w:t>
      </w:r>
      <w:r w:rsidR="000E38B9">
        <w:rPr>
          <w:color w:val="000000"/>
        </w:rPr>
        <w:t>”</w:t>
      </w:r>
      <w:r w:rsidR="001520C1">
        <w:rPr>
          <w:color w:val="000000"/>
        </w:rPr>
        <w:t xml:space="preserve"> lack of adversary testing because counsel competently argued</w:t>
      </w:r>
      <w:r w:rsidR="004006D0">
        <w:rPr>
          <w:color w:val="000000"/>
        </w:rPr>
        <w:t xml:space="preserve"> other elements of the case</w:t>
      </w:r>
      <w:r w:rsidR="001520C1">
        <w:rPr>
          <w:color w:val="000000"/>
        </w:rPr>
        <w:t xml:space="preserve"> </w:t>
      </w:r>
      <w:r w:rsidR="004006D0">
        <w:rPr>
          <w:color w:val="000000"/>
        </w:rPr>
        <w:t>(i.e.,</w:t>
      </w:r>
      <w:r w:rsidR="001520C1">
        <w:rPr>
          <w:color w:val="000000"/>
        </w:rPr>
        <w:t xml:space="preserve"> </w:t>
      </w:r>
      <w:r w:rsidR="00791B4E">
        <w:rPr>
          <w:color w:val="000000"/>
        </w:rPr>
        <w:t xml:space="preserve">that </w:t>
      </w:r>
      <w:r w:rsidR="001520C1">
        <w:rPr>
          <w:color w:val="000000"/>
        </w:rPr>
        <w:t xml:space="preserve">the search of the defendant’s apartment, his stop and arrest, </w:t>
      </w:r>
      <w:r w:rsidR="004006D0">
        <w:rPr>
          <w:color w:val="000000"/>
        </w:rPr>
        <w:t>and the search of his car</w:t>
      </w:r>
      <w:r w:rsidR="00791B4E">
        <w:rPr>
          <w:color w:val="000000"/>
        </w:rPr>
        <w:t xml:space="preserve"> were improper</w:t>
      </w:r>
      <w:r w:rsidR="004006D0">
        <w:rPr>
          <w:color w:val="000000"/>
        </w:rPr>
        <w:t>).</w:t>
      </w:r>
      <w:r w:rsidR="00C53065">
        <w:rPr>
          <w:color w:val="000000"/>
        </w:rPr>
        <w:t xml:space="preserve"> </w:t>
      </w:r>
      <w:r w:rsidR="00C53065">
        <w:rPr>
          <w:color w:val="000000"/>
          <w:u w:val="single"/>
        </w:rPr>
        <w:t>Id.</w:t>
      </w:r>
      <w:r w:rsidR="00542F6C">
        <w:rPr>
          <w:color w:val="000000"/>
        </w:rPr>
        <w:t xml:space="preserve"> at 276. </w:t>
      </w:r>
      <w:r w:rsidR="004006D0">
        <w:rPr>
          <w:color w:val="000000"/>
        </w:rPr>
        <w:t>T</w:t>
      </w:r>
      <w:r w:rsidR="00542F6C">
        <w:rPr>
          <w:color w:val="000000"/>
        </w:rPr>
        <w:t xml:space="preserve">he court held that conceding guilt of a less serious offense can be a tactical strategy. </w:t>
      </w:r>
      <w:r w:rsidR="00542F6C" w:rsidRPr="001520C1">
        <w:rPr>
          <w:color w:val="000000"/>
          <w:u w:val="single"/>
        </w:rPr>
        <w:t>Id.</w:t>
      </w:r>
      <w:r w:rsidR="00542F6C">
        <w:rPr>
          <w:color w:val="000000"/>
        </w:rPr>
        <w:t xml:space="preserve"> at 277; </w:t>
      </w:r>
      <w:r w:rsidR="00C53065">
        <w:rPr>
          <w:color w:val="000000"/>
          <w:u w:val="single"/>
        </w:rPr>
        <w:t>see also</w:t>
      </w:r>
      <w:r w:rsidR="008A5653">
        <w:rPr>
          <w:color w:val="000000"/>
        </w:rPr>
        <w:t xml:space="preserve"> </w:t>
      </w:r>
      <w:r w:rsidR="00C53065" w:rsidRPr="00C53065">
        <w:rPr>
          <w:color w:val="000000"/>
          <w:u w:val="single"/>
        </w:rPr>
        <w:t>Duffy v. Foltz</w:t>
      </w:r>
      <w:r w:rsidR="00C53065">
        <w:rPr>
          <w:color w:val="000000"/>
        </w:rPr>
        <w:t>, 804 F.2d 50, 52 (6</w:t>
      </w:r>
      <w:r w:rsidR="00C53065" w:rsidRPr="00C53065">
        <w:rPr>
          <w:color w:val="000000"/>
        </w:rPr>
        <w:t>th</w:t>
      </w:r>
      <w:r w:rsidR="00C53065">
        <w:rPr>
          <w:color w:val="000000"/>
        </w:rPr>
        <w:t xml:space="preserve"> Cir. 1986) (concluding that counsel’s admission that</w:t>
      </w:r>
      <w:r w:rsidR="00442332">
        <w:rPr>
          <w:color w:val="000000"/>
        </w:rPr>
        <w:t xml:space="preserve"> his</w:t>
      </w:r>
      <w:r w:rsidR="00C53065">
        <w:rPr>
          <w:color w:val="000000"/>
        </w:rPr>
        <w:t xml:space="preserve"> client committed the alleged acts but was not guilty by reason of insanity was a </w:t>
      </w:r>
      <w:r w:rsidR="00A4453B">
        <w:rPr>
          <w:color w:val="000000"/>
        </w:rPr>
        <w:t>reasonable</w:t>
      </w:r>
      <w:r w:rsidR="00C53065">
        <w:rPr>
          <w:color w:val="000000"/>
        </w:rPr>
        <w:t xml:space="preserve"> strategy); </w:t>
      </w:r>
      <w:r w:rsidR="00B54829">
        <w:rPr>
          <w:color w:val="000000"/>
          <w:u w:val="single"/>
        </w:rPr>
        <w:t>Walker v. State</w:t>
      </w:r>
      <w:r w:rsidR="00B54829">
        <w:rPr>
          <w:color w:val="000000"/>
        </w:rPr>
        <w:t>, 194 So. 3d 253</w:t>
      </w:r>
      <w:r w:rsidR="00216BEF">
        <w:rPr>
          <w:color w:val="000000"/>
        </w:rPr>
        <w:t>, 282</w:t>
      </w:r>
      <w:r w:rsidR="00B54829">
        <w:rPr>
          <w:color w:val="000000"/>
        </w:rPr>
        <w:t xml:space="preserve"> (</w:t>
      </w:r>
      <w:r w:rsidR="00611A01" w:rsidRPr="00611A01">
        <w:rPr>
          <w:color w:val="000000"/>
        </w:rPr>
        <w:t>Ala</w:t>
      </w:r>
      <w:r w:rsidR="00B54829" w:rsidRPr="00611A01">
        <w:rPr>
          <w:color w:val="000000"/>
        </w:rPr>
        <w:t>.</w:t>
      </w:r>
      <w:r w:rsidR="00B54829">
        <w:rPr>
          <w:color w:val="000000"/>
        </w:rPr>
        <w:t xml:space="preserve"> 2015) (concluding that it is not </w:t>
      </w:r>
      <w:r w:rsidR="00611A01">
        <w:rPr>
          <w:color w:val="000000"/>
        </w:rPr>
        <w:t>constructive denial of counsel</w:t>
      </w:r>
      <w:r w:rsidR="00216BEF">
        <w:rPr>
          <w:color w:val="000000"/>
        </w:rPr>
        <w:t xml:space="preserve"> for an attorney to concede guilt of burglary, a lesser offense of the capital-murder charge</w:t>
      </w:r>
      <w:r w:rsidR="008A5653">
        <w:rPr>
          <w:color w:val="000000"/>
        </w:rPr>
        <w:t>)</w:t>
      </w:r>
      <w:r w:rsidR="00C53065">
        <w:rPr>
          <w:color w:val="000000"/>
        </w:rPr>
        <w:t xml:space="preserve">. </w:t>
      </w:r>
    </w:p>
    <w:p w:rsidR="00F5521C" w:rsidRDefault="00542F6C" w:rsidP="00F5521C">
      <w:pPr>
        <w:pStyle w:val="NormalWeb"/>
        <w:tabs>
          <w:tab w:val="left" w:pos="1080"/>
        </w:tabs>
        <w:spacing w:before="0" w:beforeAutospacing="0" w:after="200" w:afterAutospacing="0" w:line="480" w:lineRule="auto"/>
        <w:ind w:firstLine="720"/>
        <w:rPr>
          <w:color w:val="000000"/>
        </w:rPr>
      </w:pPr>
      <w:r>
        <w:rPr>
          <w:color w:val="000000"/>
        </w:rPr>
        <w:t xml:space="preserve">An important new United States Supreme Court case, </w:t>
      </w:r>
      <w:r>
        <w:rPr>
          <w:color w:val="000000"/>
          <w:u w:val="single"/>
        </w:rPr>
        <w:t xml:space="preserve">McCoy v. </w:t>
      </w:r>
      <w:r w:rsidRPr="00110520">
        <w:rPr>
          <w:color w:val="000000"/>
          <w:u w:val="single"/>
        </w:rPr>
        <w:t>Louisiana</w:t>
      </w:r>
      <w:r w:rsidR="002F0340">
        <w:rPr>
          <w:color w:val="000000"/>
        </w:rPr>
        <w:t>, 200 L. Ed. 2d 821, 827 (2018),</w:t>
      </w:r>
      <w:r>
        <w:rPr>
          <w:color w:val="000000"/>
        </w:rPr>
        <w:t xml:space="preserve"> </w:t>
      </w:r>
      <w:r w:rsidR="002F0340">
        <w:rPr>
          <w:color w:val="000000"/>
        </w:rPr>
        <w:t xml:space="preserve">provides insight into what constitutes a “complete” lack of adversary testing. </w:t>
      </w:r>
      <w:r w:rsidR="000E38B9">
        <w:rPr>
          <w:color w:val="000000"/>
        </w:rPr>
        <w:t xml:space="preserve">In </w:t>
      </w:r>
      <w:r w:rsidR="000E38B9" w:rsidRPr="00035179">
        <w:rPr>
          <w:color w:val="000000"/>
          <w:u w:val="single"/>
        </w:rPr>
        <w:t>McCoy</w:t>
      </w:r>
      <w:r w:rsidR="000E38B9">
        <w:rPr>
          <w:color w:val="000000"/>
        </w:rPr>
        <w:t xml:space="preserve">, the defendant was charged with murdering his estranged wife’s mother, stepfather, and son. </w:t>
      </w:r>
      <w:r w:rsidR="000E38B9">
        <w:rPr>
          <w:color w:val="000000"/>
          <w:u w:val="single"/>
        </w:rPr>
        <w:t>Id.</w:t>
      </w:r>
      <w:r w:rsidR="000E38B9">
        <w:rPr>
          <w:color w:val="000000"/>
        </w:rPr>
        <w:t xml:space="preserve"> at 825. </w:t>
      </w:r>
      <w:r w:rsidR="000E38B9" w:rsidRPr="00035179">
        <w:rPr>
          <w:color w:val="000000"/>
        </w:rPr>
        <w:t>Despite</w:t>
      </w:r>
      <w:r w:rsidR="000E38B9">
        <w:rPr>
          <w:color w:val="000000"/>
        </w:rPr>
        <w:t xml:space="preserve"> </w:t>
      </w:r>
      <w:r w:rsidR="00E75B99">
        <w:rPr>
          <w:color w:val="000000"/>
        </w:rPr>
        <w:t>the defendant’s</w:t>
      </w:r>
      <w:r w:rsidR="000E38B9">
        <w:rPr>
          <w:color w:val="000000"/>
        </w:rPr>
        <w:t xml:space="preserve"> adamant “object</w:t>
      </w:r>
      <w:r w:rsidR="00171A27">
        <w:rPr>
          <w:color w:val="000000"/>
        </w:rPr>
        <w:t>[ion] to any admission of guilt</w:t>
      </w:r>
      <w:r w:rsidR="000E38B9">
        <w:rPr>
          <w:color w:val="000000"/>
        </w:rPr>
        <w:t>”</w:t>
      </w:r>
      <w:r w:rsidR="002F0340">
        <w:rPr>
          <w:color w:val="000000"/>
        </w:rPr>
        <w:t xml:space="preserve"> at trial</w:t>
      </w:r>
      <w:r w:rsidR="00393E5B">
        <w:rPr>
          <w:color w:val="000000"/>
        </w:rPr>
        <w:t>,</w:t>
      </w:r>
      <w:r w:rsidR="002F0340">
        <w:rPr>
          <w:color w:val="000000"/>
        </w:rPr>
        <w:t xml:space="preserve"> counsel conceded </w:t>
      </w:r>
      <w:r w:rsidR="00E75B99">
        <w:rPr>
          <w:color w:val="000000"/>
        </w:rPr>
        <w:t>that his client</w:t>
      </w:r>
      <w:r w:rsidR="002F0340">
        <w:rPr>
          <w:color w:val="000000"/>
        </w:rPr>
        <w:t xml:space="preserve"> committed the crimes</w:t>
      </w:r>
      <w:r w:rsidR="00F5521C">
        <w:rPr>
          <w:color w:val="000000"/>
        </w:rPr>
        <w:t xml:space="preserve"> but</w:t>
      </w:r>
      <w:r w:rsidR="00E75B99">
        <w:rPr>
          <w:color w:val="000000"/>
        </w:rPr>
        <w:t xml:space="preserve"> </w:t>
      </w:r>
      <w:r w:rsidR="002F0340">
        <w:rPr>
          <w:color w:val="000000"/>
        </w:rPr>
        <w:t xml:space="preserve">urged mercy in light of the defendant’s </w:t>
      </w:r>
      <w:r w:rsidR="000E38B9">
        <w:rPr>
          <w:color w:val="000000"/>
        </w:rPr>
        <w:t xml:space="preserve">“serious mental and emotional issues.” </w:t>
      </w:r>
      <w:r w:rsidR="000E38B9">
        <w:rPr>
          <w:color w:val="000000"/>
          <w:u w:val="single"/>
        </w:rPr>
        <w:t>Id.</w:t>
      </w:r>
      <w:r w:rsidR="0073478E">
        <w:rPr>
          <w:color w:val="000000"/>
        </w:rPr>
        <w:t xml:space="preserve"> </w:t>
      </w:r>
      <w:r w:rsidR="002243D8">
        <w:rPr>
          <w:color w:val="000000"/>
        </w:rPr>
        <w:t xml:space="preserve">The </w:t>
      </w:r>
      <w:r w:rsidR="00171A27">
        <w:rPr>
          <w:color w:val="000000"/>
        </w:rPr>
        <w:t xml:space="preserve">Supreme </w:t>
      </w:r>
      <w:r w:rsidR="002243D8">
        <w:rPr>
          <w:color w:val="000000"/>
        </w:rPr>
        <w:t>Court reasoned that</w:t>
      </w:r>
      <w:r w:rsidR="002243D8" w:rsidRPr="000A0B47">
        <w:t xml:space="preserve"> such decisions are “not strategic choices about how best to </w:t>
      </w:r>
      <w:r w:rsidR="002243D8" w:rsidRPr="000A0B47">
        <w:rPr>
          <w:i/>
        </w:rPr>
        <w:t xml:space="preserve">achieve </w:t>
      </w:r>
      <w:r w:rsidR="002243D8" w:rsidRPr="000A0B47">
        <w:t xml:space="preserve">a client’s objectives,” but rather, “choices about what the client’s objectives in fact </w:t>
      </w:r>
      <w:r w:rsidR="002243D8" w:rsidRPr="000A0B47">
        <w:rPr>
          <w:i/>
        </w:rPr>
        <w:t>are</w:t>
      </w:r>
      <w:r w:rsidR="002243D8" w:rsidRPr="000A0B47">
        <w:t xml:space="preserve">.” </w:t>
      </w:r>
      <w:r w:rsidR="002243D8" w:rsidRPr="000A0B47">
        <w:rPr>
          <w:u w:val="single"/>
        </w:rPr>
        <w:t>Id.</w:t>
      </w:r>
      <w:r w:rsidR="002243D8" w:rsidRPr="000A0B47">
        <w:t xml:space="preserve"> </w:t>
      </w:r>
      <w:r w:rsidR="00F5521C">
        <w:t xml:space="preserve">at 830 (emphasis in original). </w:t>
      </w:r>
      <w:r w:rsidR="002243D8">
        <w:t>While c</w:t>
      </w:r>
      <w:r w:rsidR="002243D8" w:rsidRPr="000A0B47">
        <w:t xml:space="preserve">ounsel may believe that conceding guilt </w:t>
      </w:r>
      <w:r w:rsidR="002243D8" w:rsidRPr="00110520">
        <w:rPr>
          <w:color w:val="000000"/>
        </w:rPr>
        <w:t>will strategica</w:t>
      </w:r>
      <w:r w:rsidR="002243D8">
        <w:rPr>
          <w:color w:val="000000"/>
        </w:rPr>
        <w:t xml:space="preserve">lly result in the best outcome, </w:t>
      </w:r>
      <w:r w:rsidR="004006D0">
        <w:rPr>
          <w:color w:val="000000"/>
        </w:rPr>
        <w:t xml:space="preserve">the Court concluded, </w:t>
      </w:r>
      <w:r w:rsidR="002243D8" w:rsidRPr="00110520">
        <w:rPr>
          <w:color w:val="000000"/>
        </w:rPr>
        <w:t xml:space="preserve">the client may not share this objective. </w:t>
      </w:r>
      <w:r w:rsidR="002243D8" w:rsidRPr="00110520">
        <w:rPr>
          <w:color w:val="000000"/>
          <w:u w:val="single"/>
        </w:rPr>
        <w:t>Id.</w:t>
      </w:r>
      <w:r w:rsidR="00F5521C">
        <w:rPr>
          <w:color w:val="000000"/>
        </w:rPr>
        <w:t xml:space="preserve"> </w:t>
      </w:r>
      <w:r w:rsidR="002243D8">
        <w:rPr>
          <w:color w:val="000000"/>
        </w:rPr>
        <w:t xml:space="preserve">Ultimately, the </w:t>
      </w:r>
      <w:r w:rsidR="002F0340" w:rsidRPr="00110520">
        <w:rPr>
          <w:color w:val="000000"/>
        </w:rPr>
        <w:t xml:space="preserve">Court held that “a defendant has the right to insist that counsel refrain from admitting guilt, even when counsel’s experienced-based view is that confession of guilt offers the defendant the best chance to avoid the death penalty.” </w:t>
      </w:r>
      <w:r w:rsidR="002F0340" w:rsidRPr="00110520">
        <w:rPr>
          <w:color w:val="000000"/>
          <w:u w:val="single"/>
        </w:rPr>
        <w:t>Id.</w:t>
      </w:r>
      <w:r w:rsidR="00B56AC5">
        <w:rPr>
          <w:color w:val="000000"/>
          <w:u w:val="single"/>
        </w:rPr>
        <w:t xml:space="preserve"> </w:t>
      </w:r>
    </w:p>
    <w:p w:rsidR="002F0340" w:rsidRPr="00F5521C" w:rsidRDefault="00F5521C" w:rsidP="00F5521C">
      <w:pPr>
        <w:pStyle w:val="NormalWeb"/>
        <w:tabs>
          <w:tab w:val="left" w:pos="1080"/>
        </w:tabs>
        <w:spacing w:before="0" w:beforeAutospacing="0" w:after="200" w:afterAutospacing="0" w:line="480" w:lineRule="auto"/>
        <w:ind w:firstLine="720"/>
        <w:rPr>
          <w:color w:val="000000"/>
        </w:rPr>
      </w:pPr>
      <w:r>
        <w:rPr>
          <w:color w:val="000000"/>
        </w:rPr>
        <w:t xml:space="preserve">In its reasoning, the Court explicitly distinguished </w:t>
      </w:r>
      <w:r>
        <w:rPr>
          <w:color w:val="000000"/>
          <w:u w:val="single"/>
        </w:rPr>
        <w:t>McCoy</w:t>
      </w:r>
      <w:r w:rsidRPr="00F5521C">
        <w:rPr>
          <w:color w:val="000000"/>
        </w:rPr>
        <w:t xml:space="preserve"> </w:t>
      </w:r>
      <w:r>
        <w:rPr>
          <w:color w:val="000000"/>
        </w:rPr>
        <w:t xml:space="preserve">from </w:t>
      </w:r>
      <w:r w:rsidR="000E38B9" w:rsidRPr="000A0B47">
        <w:rPr>
          <w:u w:val="single"/>
        </w:rPr>
        <w:t>Florida v. Nixon</w:t>
      </w:r>
      <w:r w:rsidR="000E38B9" w:rsidRPr="000A0B47">
        <w:t>, 543 U.S. 175</w:t>
      </w:r>
      <w:r w:rsidR="000E38B9">
        <w:t xml:space="preserve"> </w:t>
      </w:r>
      <w:r>
        <w:t xml:space="preserve">(2004). In </w:t>
      </w:r>
      <w:r>
        <w:rPr>
          <w:u w:val="single"/>
        </w:rPr>
        <w:t>Nixon</w:t>
      </w:r>
      <w:r>
        <w:t xml:space="preserve">, defense counsel conceded the accused’s commission of murder and concentrated, instead, on establishing cause for sparing the defendant’s life. </w:t>
      </w:r>
      <w:r w:rsidRPr="00F5521C">
        <w:rPr>
          <w:u w:val="single"/>
        </w:rPr>
        <w:t>Id.</w:t>
      </w:r>
      <w:r w:rsidR="00482F1F">
        <w:t xml:space="preserve"> at</w:t>
      </w:r>
      <w:r>
        <w:t xml:space="preserve"> 181.</w:t>
      </w:r>
      <w:r w:rsidR="00B56AC5">
        <w:t xml:space="preserve"> On at least three occasions prior to trial, counsel attempted to explain this strategy to the defendant</w:t>
      </w:r>
      <w:r w:rsidR="002F1651">
        <w:t xml:space="preserve">; however, </w:t>
      </w:r>
      <w:r w:rsidR="00B56AC5">
        <w:t xml:space="preserve">the defendant remained “generally unresponsive” and “never verbally approved or protested” the proposed strategy. </w:t>
      </w:r>
      <w:r w:rsidR="00B56AC5" w:rsidRPr="00B56AC5">
        <w:rPr>
          <w:u w:val="single"/>
        </w:rPr>
        <w:t>Id.</w:t>
      </w:r>
      <w:r w:rsidR="00B56AC5">
        <w:t xml:space="preserve"> According to the Court, “[t]he reasonableness of counsel’s performance, after </w:t>
      </w:r>
      <w:r w:rsidR="00B56AC5" w:rsidRPr="00B56AC5">
        <w:rPr>
          <w:i/>
        </w:rPr>
        <w:t>consultation with the defendant yields no response</w:t>
      </w:r>
      <w:r w:rsidR="00B56AC5">
        <w:t xml:space="preserve">, must be judged in accord with the inquiry generally applicable to ineffective-assistance-of-counsel claims.” </w:t>
      </w:r>
      <w:r w:rsidR="00B56AC5" w:rsidRPr="002F1651">
        <w:rPr>
          <w:u w:val="single"/>
        </w:rPr>
        <w:t>Id.</w:t>
      </w:r>
      <w:r w:rsidR="00B56AC5">
        <w:t xml:space="preserve"> </w:t>
      </w:r>
      <w:r w:rsidR="00482F1F">
        <w:t xml:space="preserve">at </w:t>
      </w:r>
      <w:r w:rsidR="00B56AC5">
        <w:t xml:space="preserve">178 (emphasis added). </w:t>
      </w:r>
      <w:r w:rsidR="002F1651">
        <w:t xml:space="preserve">Thus, in </w:t>
      </w:r>
      <w:r w:rsidR="002F1651" w:rsidRPr="002F1651">
        <w:rPr>
          <w:u w:val="single"/>
        </w:rPr>
        <w:t>McCoy</w:t>
      </w:r>
      <w:r w:rsidR="002F1651">
        <w:t xml:space="preserve">, the Court draws a clear distinction between when </w:t>
      </w:r>
      <w:r w:rsidR="00B3362D">
        <w:t xml:space="preserve">a </w:t>
      </w:r>
      <w:r w:rsidR="002F1651">
        <w:t xml:space="preserve">“defendant, informed by counsel, neither consents nor objects” and when a defendant explicitly objects to such a strategy. </w:t>
      </w:r>
      <w:r w:rsidR="002F1651">
        <w:rPr>
          <w:u w:val="single"/>
        </w:rPr>
        <w:t>Id.</w:t>
      </w:r>
      <w:r w:rsidR="000E38B9" w:rsidRPr="000A0B47">
        <w:t xml:space="preserve"> </w:t>
      </w:r>
      <w:r w:rsidR="002F1651">
        <w:t xml:space="preserve">While the concession of guilt absent verbal approval or protest by the defendant requires application of the </w:t>
      </w:r>
      <w:r w:rsidR="00171A27">
        <w:t>ineffective assistance</w:t>
      </w:r>
      <w:r w:rsidR="002F1651">
        <w:t xml:space="preserve"> test, the Court holds that </w:t>
      </w:r>
      <w:r w:rsidR="002F1651">
        <w:rPr>
          <w:color w:val="000000"/>
        </w:rPr>
        <w:t xml:space="preserve">conceding guilt against the client’s </w:t>
      </w:r>
      <w:r w:rsidR="002F1651" w:rsidRPr="00B532F5">
        <w:rPr>
          <w:i/>
          <w:color w:val="000000"/>
        </w:rPr>
        <w:t xml:space="preserve">explicit </w:t>
      </w:r>
      <w:r w:rsidR="002F1651">
        <w:rPr>
          <w:color w:val="000000"/>
        </w:rPr>
        <w:t xml:space="preserve">wishes, regardless of the tactical advantage, represents a complete failure to provide a meaningful adversarial test. </w:t>
      </w:r>
      <w:r w:rsidR="002F1651">
        <w:rPr>
          <w:color w:val="000000"/>
          <w:u w:val="single"/>
        </w:rPr>
        <w:t>McCoy</w:t>
      </w:r>
      <w:r w:rsidR="002F1651">
        <w:rPr>
          <w:color w:val="000000"/>
        </w:rPr>
        <w:t xml:space="preserve">, 200 L. Ed. 2d at 830. </w:t>
      </w:r>
    </w:p>
    <w:p w:rsidR="00B40EE4" w:rsidRPr="00E75B99" w:rsidRDefault="00B40EE4" w:rsidP="00B40EE4">
      <w:pPr>
        <w:pStyle w:val="NormalWeb"/>
        <w:numPr>
          <w:ilvl w:val="1"/>
          <w:numId w:val="8"/>
        </w:numPr>
        <w:spacing w:before="0" w:beforeAutospacing="0" w:after="200" w:afterAutospacing="0"/>
        <w:textAlignment w:val="baseline"/>
        <w:rPr>
          <w:b/>
          <w:bCs/>
          <w:color w:val="000000"/>
        </w:rPr>
      </w:pPr>
      <w:r>
        <w:rPr>
          <w:b/>
          <w:bCs/>
          <w:color w:val="000000"/>
        </w:rPr>
        <w:t xml:space="preserve">Implications of </w:t>
      </w:r>
      <w:r w:rsidRPr="00B532F5">
        <w:rPr>
          <w:b/>
          <w:bCs/>
          <w:color w:val="000000"/>
          <w:u w:val="single"/>
        </w:rPr>
        <w:t>McCoy</w:t>
      </w:r>
      <w:r>
        <w:rPr>
          <w:b/>
          <w:bCs/>
          <w:color w:val="000000"/>
        </w:rPr>
        <w:t xml:space="preserve"> for child welfare proceedings </w:t>
      </w:r>
    </w:p>
    <w:p w:rsidR="0073478E" w:rsidRDefault="007E2D0F" w:rsidP="001742F6">
      <w:pPr>
        <w:pStyle w:val="NormalWeb"/>
        <w:spacing w:before="0" w:beforeAutospacing="0" w:after="200" w:afterAutospacing="0" w:line="480" w:lineRule="auto"/>
        <w:ind w:firstLine="720"/>
        <w:rPr>
          <w:color w:val="000000"/>
        </w:rPr>
      </w:pPr>
      <w:r>
        <w:rPr>
          <w:color w:val="000000"/>
        </w:rPr>
        <w:t xml:space="preserve">Massachusetts has not explicitly considered constructive denial of counsel in the child welfare context. </w:t>
      </w:r>
      <w:r w:rsidR="001742F6">
        <w:rPr>
          <w:color w:val="000000"/>
        </w:rPr>
        <w:t>However, t</w:t>
      </w:r>
      <w:r>
        <w:rPr>
          <w:color w:val="000000"/>
        </w:rPr>
        <w:t xml:space="preserve">he </w:t>
      </w:r>
      <w:r w:rsidR="00C832B1">
        <w:rPr>
          <w:color w:val="000000"/>
        </w:rPr>
        <w:t xml:space="preserve">unauthorized concession of unfitness is akin to the unauthorized concession of </w:t>
      </w:r>
      <w:r w:rsidR="00B3362D">
        <w:rPr>
          <w:color w:val="000000"/>
        </w:rPr>
        <w:t xml:space="preserve">guilt in criminal proceedings. </w:t>
      </w:r>
      <w:r w:rsidR="00C832B1">
        <w:rPr>
          <w:color w:val="000000"/>
        </w:rPr>
        <w:t>T</w:t>
      </w:r>
      <w:r w:rsidR="00896CE9">
        <w:rPr>
          <w:color w:val="000000"/>
        </w:rPr>
        <w:t xml:space="preserve">he decision to concede unfitness </w:t>
      </w:r>
      <w:r w:rsidR="001742F6">
        <w:rPr>
          <w:color w:val="000000"/>
        </w:rPr>
        <w:t>is a choice about the client’s objectives as opposed to a choice of strategy</w:t>
      </w:r>
      <w:r w:rsidR="00896CE9">
        <w:t xml:space="preserve">. </w:t>
      </w:r>
      <w:r w:rsidR="00896CE9" w:rsidRPr="00110520">
        <w:rPr>
          <w:color w:val="000000"/>
        </w:rPr>
        <w:t>Just as the defendant in a criminal proceeding may “wish to avoid, above all else, the opprobrium that comes with adm</w:t>
      </w:r>
      <w:r w:rsidR="00896CE9">
        <w:rPr>
          <w:color w:val="000000"/>
        </w:rPr>
        <w:t>itting he killed family members</w:t>
      </w:r>
      <w:r w:rsidR="00171A27">
        <w:rPr>
          <w:color w:val="000000"/>
        </w:rPr>
        <w:t>,</w:t>
      </w:r>
      <w:r w:rsidR="00896CE9" w:rsidRPr="00110520">
        <w:rPr>
          <w:color w:val="000000"/>
        </w:rPr>
        <w:t xml:space="preserve">” </w:t>
      </w:r>
      <w:r w:rsidR="00896CE9">
        <w:rPr>
          <w:color w:val="000000"/>
          <w:u w:val="single"/>
        </w:rPr>
        <w:t>McCoy</w:t>
      </w:r>
      <w:r w:rsidR="00896CE9">
        <w:rPr>
          <w:color w:val="000000"/>
        </w:rPr>
        <w:t xml:space="preserve">, 200 L. Ed. 2d at 830, </w:t>
      </w:r>
      <w:r w:rsidR="00896CE9" w:rsidRPr="00110520">
        <w:rPr>
          <w:color w:val="000000"/>
        </w:rPr>
        <w:t>a parent-client may wish to avoid the stigma associated with a concession of unfitness</w:t>
      </w:r>
      <w:r w:rsidR="00284829">
        <w:rPr>
          <w:color w:val="000000"/>
        </w:rPr>
        <w:t xml:space="preserve">. </w:t>
      </w:r>
    </w:p>
    <w:p w:rsidR="00DE4B39" w:rsidRDefault="0073478E" w:rsidP="0073478E">
      <w:pPr>
        <w:pStyle w:val="NormalWeb"/>
        <w:spacing w:before="0" w:beforeAutospacing="0" w:after="200" w:afterAutospacing="0" w:line="480" w:lineRule="auto"/>
        <w:ind w:firstLine="720"/>
        <w:rPr>
          <w:color w:val="000000"/>
        </w:rPr>
      </w:pPr>
      <w:r>
        <w:rPr>
          <w:color w:val="000000"/>
        </w:rPr>
        <w:t>Additionally, b</w:t>
      </w:r>
      <w:r w:rsidR="006616D2">
        <w:rPr>
          <w:color w:val="000000"/>
        </w:rPr>
        <w:t>y conceding unfitness, tr</w:t>
      </w:r>
      <w:r w:rsidR="00284829">
        <w:rPr>
          <w:color w:val="000000"/>
        </w:rPr>
        <w:t xml:space="preserve">ial counsel does not </w:t>
      </w:r>
      <w:r w:rsidR="006616D2">
        <w:rPr>
          <w:color w:val="000000"/>
        </w:rPr>
        <w:t xml:space="preserve">concede a less serious offense, </w:t>
      </w:r>
      <w:r w:rsidR="00C832B1">
        <w:rPr>
          <w:color w:val="000000"/>
        </w:rPr>
        <w:t>but rather, concedes the most important</w:t>
      </w:r>
      <w:r w:rsidR="00284829">
        <w:rPr>
          <w:color w:val="000000"/>
        </w:rPr>
        <w:t xml:space="preserve"> factual issue in dispute. </w:t>
      </w:r>
      <w:r w:rsidR="00C832B1">
        <w:rPr>
          <w:color w:val="000000"/>
        </w:rPr>
        <w:t>Although termination of parental rights</w:t>
      </w:r>
      <w:r w:rsidR="00E87ABE">
        <w:rPr>
          <w:color w:val="000000"/>
        </w:rPr>
        <w:t xml:space="preserve"> requires a finding that termination is in the child’s best interests in addition to a finding of unfitness</w:t>
      </w:r>
      <w:r w:rsidR="00C832B1">
        <w:rPr>
          <w:color w:val="000000"/>
        </w:rPr>
        <w:t>,</w:t>
      </w:r>
      <w:r w:rsidR="00171A27">
        <w:rPr>
          <w:color w:val="000000"/>
        </w:rPr>
        <w:t xml:space="preserve"> </w:t>
      </w:r>
      <w:r w:rsidR="00171A27">
        <w:rPr>
          <w:color w:val="000000"/>
          <w:u w:val="single"/>
        </w:rPr>
        <w:t>see</w:t>
      </w:r>
      <w:r w:rsidR="00C832B1">
        <w:rPr>
          <w:color w:val="000000"/>
        </w:rPr>
        <w:t xml:space="preserve"> </w:t>
      </w:r>
      <w:r w:rsidR="00E87ABE">
        <w:rPr>
          <w:color w:val="000000"/>
          <w:u w:val="single"/>
        </w:rPr>
        <w:t>Adoption of</w:t>
      </w:r>
      <w:r w:rsidR="00E87ABE" w:rsidRPr="00D118B3">
        <w:rPr>
          <w:color w:val="000000"/>
          <w:u w:val="single"/>
        </w:rPr>
        <w:t xml:space="preserve"> Garret</w:t>
      </w:r>
      <w:r w:rsidR="00E87ABE">
        <w:rPr>
          <w:color w:val="000000"/>
        </w:rPr>
        <w:t>, 9</w:t>
      </w:r>
      <w:r w:rsidR="00C832B1">
        <w:rPr>
          <w:color w:val="000000"/>
        </w:rPr>
        <w:t xml:space="preserve">2 Mass. App. Ct. 664, 671 (2018), the two findings </w:t>
      </w:r>
      <w:r w:rsidR="00E87ABE">
        <w:rPr>
          <w:color w:val="000000"/>
        </w:rPr>
        <w:t xml:space="preserve"> </w:t>
      </w:r>
      <w:r w:rsidR="001742F6">
        <w:rPr>
          <w:color w:val="000000"/>
        </w:rPr>
        <w:t>“are not mutually exclusive</w:t>
      </w:r>
      <w:r w:rsidR="00DE4B39">
        <w:rPr>
          <w:color w:val="000000"/>
        </w:rPr>
        <w:t xml:space="preserve">” but “reflect different degrees of emphasis on the same factors.” </w:t>
      </w:r>
      <w:r w:rsidR="00DE4B39">
        <w:rPr>
          <w:color w:val="000000"/>
          <w:u w:val="single"/>
        </w:rPr>
        <w:t>Care and Protection of Three Minors</w:t>
      </w:r>
      <w:r w:rsidR="00DE4B39">
        <w:rPr>
          <w:color w:val="000000"/>
        </w:rPr>
        <w:t xml:space="preserve">, 392 Mass. 704, 714 (1984) </w:t>
      </w:r>
      <w:r w:rsidR="00284829">
        <w:rPr>
          <w:color w:val="000000"/>
        </w:rPr>
        <w:t xml:space="preserve">(internal quotations omitted).  </w:t>
      </w:r>
      <w:r w:rsidR="001742F6">
        <w:rPr>
          <w:color w:val="000000"/>
        </w:rPr>
        <w:t>In determining whether termination is in the best interests of the child, j</w:t>
      </w:r>
      <w:r w:rsidR="00DE4B39">
        <w:rPr>
          <w:color w:val="000000"/>
        </w:rPr>
        <w:t xml:space="preserve">udges consider “the ability, capacity, fitness </w:t>
      </w:r>
      <w:r w:rsidR="001742F6">
        <w:rPr>
          <w:color w:val="000000"/>
        </w:rPr>
        <w:t>and readiness of the… parents</w:t>
      </w:r>
      <w:r w:rsidR="00284829">
        <w:rPr>
          <w:color w:val="000000"/>
        </w:rPr>
        <w:t>.</w:t>
      </w:r>
      <w:r w:rsidR="001742F6">
        <w:rPr>
          <w:color w:val="000000"/>
        </w:rPr>
        <w:t>”</w:t>
      </w:r>
      <w:r w:rsidR="00284829">
        <w:rPr>
          <w:color w:val="000000"/>
        </w:rPr>
        <w:t xml:space="preserve"> </w:t>
      </w:r>
      <w:r w:rsidR="00DE4B39">
        <w:rPr>
          <w:color w:val="000000"/>
          <w:u w:val="single"/>
        </w:rPr>
        <w:t>Adoption of Gillian</w:t>
      </w:r>
      <w:r w:rsidR="00DE4B39">
        <w:rPr>
          <w:color w:val="000000"/>
        </w:rPr>
        <w:t>, 63 Mass. App. Ct. 398, 404 (2005).</w:t>
      </w:r>
      <w:r w:rsidR="00DE4B39" w:rsidRPr="007A3C3D">
        <w:rPr>
          <w:color w:val="000000"/>
        </w:rPr>
        <w:t xml:space="preserve"> </w:t>
      </w:r>
      <w:r w:rsidR="00284829">
        <w:rPr>
          <w:color w:val="000000"/>
        </w:rPr>
        <w:t>Parental fitness is thus the “critical inquiry” in custody disputes</w:t>
      </w:r>
      <w:r w:rsidR="006616D2">
        <w:rPr>
          <w:color w:val="000000"/>
        </w:rPr>
        <w:t xml:space="preserve">. </w:t>
      </w:r>
      <w:r w:rsidR="001742F6">
        <w:rPr>
          <w:color w:val="000000"/>
          <w:u w:val="single"/>
        </w:rPr>
        <w:t>Id.</w:t>
      </w:r>
      <w:r>
        <w:rPr>
          <w:color w:val="000000"/>
        </w:rPr>
        <w:t xml:space="preserve"> C</w:t>
      </w:r>
      <w:r w:rsidR="006616D2">
        <w:rPr>
          <w:color w:val="000000"/>
        </w:rPr>
        <w:t xml:space="preserve">onceding unfitness </w:t>
      </w:r>
      <w:r w:rsidR="001742F6">
        <w:rPr>
          <w:color w:val="000000"/>
        </w:rPr>
        <w:t>to instead focus</w:t>
      </w:r>
      <w:r w:rsidR="006616D2">
        <w:rPr>
          <w:color w:val="000000"/>
        </w:rPr>
        <w:t xml:space="preserve"> on whether termination se</w:t>
      </w:r>
      <w:r w:rsidR="00D075CE">
        <w:rPr>
          <w:color w:val="000000"/>
        </w:rPr>
        <w:t xml:space="preserve">rved the child’s best interests </w:t>
      </w:r>
      <w:r>
        <w:rPr>
          <w:color w:val="000000"/>
        </w:rPr>
        <w:t xml:space="preserve">is therefore analogous to the concession of guilt in </w:t>
      </w:r>
      <w:r>
        <w:rPr>
          <w:color w:val="000000"/>
          <w:u w:val="single"/>
        </w:rPr>
        <w:t>McCoy</w:t>
      </w:r>
      <w:r w:rsidR="00D075CE">
        <w:rPr>
          <w:color w:val="000000"/>
        </w:rPr>
        <w:t xml:space="preserve">. By conceding the </w:t>
      </w:r>
      <w:r w:rsidR="00C832B1">
        <w:rPr>
          <w:color w:val="000000"/>
        </w:rPr>
        <w:t>most important</w:t>
      </w:r>
      <w:r w:rsidR="00D075CE">
        <w:rPr>
          <w:color w:val="000000"/>
        </w:rPr>
        <w:t xml:space="preserve"> </w:t>
      </w:r>
      <w:r w:rsidR="001742F6">
        <w:rPr>
          <w:color w:val="000000"/>
        </w:rPr>
        <w:t>material issue in disput</w:t>
      </w:r>
      <w:r w:rsidR="00D075CE">
        <w:rPr>
          <w:color w:val="000000"/>
        </w:rPr>
        <w:t xml:space="preserve">e, trial counsel </w:t>
      </w:r>
      <w:r w:rsidR="00D075CE" w:rsidRPr="00D075CE">
        <w:rPr>
          <w:i/>
          <w:color w:val="000000"/>
        </w:rPr>
        <w:t>completely</w:t>
      </w:r>
      <w:r w:rsidR="00D075CE">
        <w:rPr>
          <w:color w:val="000000"/>
        </w:rPr>
        <w:t xml:space="preserve"> fails to provide a meaningful adversarial test</w:t>
      </w:r>
      <w:r w:rsidR="00171A27">
        <w:rPr>
          <w:color w:val="000000"/>
        </w:rPr>
        <w:t xml:space="preserve"> to the state’s case</w:t>
      </w:r>
      <w:r w:rsidR="00D075CE">
        <w:rPr>
          <w:color w:val="000000"/>
        </w:rPr>
        <w:t xml:space="preserve">. </w:t>
      </w:r>
      <w:r w:rsidR="006616D2">
        <w:rPr>
          <w:color w:val="000000"/>
          <w:u w:val="single"/>
        </w:rPr>
        <w:t>Contrast</w:t>
      </w:r>
      <w:r w:rsidR="006616D2">
        <w:rPr>
          <w:color w:val="000000"/>
        </w:rPr>
        <w:t xml:space="preserve"> </w:t>
      </w:r>
      <w:r w:rsidR="006616D2">
        <w:rPr>
          <w:color w:val="000000"/>
          <w:u w:val="single"/>
        </w:rPr>
        <w:t>Velez</w:t>
      </w:r>
      <w:r w:rsidR="006616D2">
        <w:rPr>
          <w:color w:val="000000"/>
        </w:rPr>
        <w:t xml:space="preserve">, 77 Mass. App. Ct. at 276 (holding that a concession of some charges is not constructive denial of counsel where trial counsel competently challenged other factual issues), </w:t>
      </w:r>
      <w:r w:rsidR="006616D2">
        <w:rPr>
          <w:color w:val="000000"/>
          <w:u w:val="single"/>
        </w:rPr>
        <w:t>with</w:t>
      </w:r>
      <w:r w:rsidR="006616D2">
        <w:rPr>
          <w:color w:val="000000"/>
        </w:rPr>
        <w:t xml:space="preserve"> </w:t>
      </w:r>
      <w:r w:rsidR="006616D2">
        <w:rPr>
          <w:color w:val="000000"/>
          <w:u w:val="single"/>
        </w:rPr>
        <w:t>McCoy</w:t>
      </w:r>
      <w:r w:rsidR="006616D2">
        <w:rPr>
          <w:color w:val="000000"/>
        </w:rPr>
        <w:t>, 200 L. Ed.</w:t>
      </w:r>
      <w:r w:rsidR="00C832B1">
        <w:rPr>
          <w:color w:val="000000"/>
        </w:rPr>
        <w:t xml:space="preserve"> 2d at 829 (concluding that merely </w:t>
      </w:r>
      <w:r w:rsidR="006616D2">
        <w:rPr>
          <w:color w:val="000000"/>
        </w:rPr>
        <w:t>u</w:t>
      </w:r>
      <w:r w:rsidR="00E75B99">
        <w:rPr>
          <w:color w:val="000000"/>
        </w:rPr>
        <w:t xml:space="preserve">rging </w:t>
      </w:r>
      <w:r w:rsidR="00D075CE">
        <w:rPr>
          <w:color w:val="000000"/>
        </w:rPr>
        <w:t>leniency</w:t>
      </w:r>
      <w:r w:rsidR="006616D2">
        <w:rPr>
          <w:color w:val="000000"/>
        </w:rPr>
        <w:t xml:space="preserve"> in the face of an unauthorized concession of guilt represents a complete failure to challenge the government’s case). </w:t>
      </w:r>
    </w:p>
    <w:p w:rsidR="00E00299" w:rsidRPr="000A4033" w:rsidRDefault="00C832B1" w:rsidP="00B40EE4">
      <w:pPr>
        <w:pStyle w:val="NormalWeb"/>
        <w:spacing w:before="0" w:beforeAutospacing="0" w:after="200" w:afterAutospacing="0" w:line="480" w:lineRule="auto"/>
        <w:ind w:firstLine="720"/>
        <w:rPr>
          <w:color w:val="000000"/>
        </w:rPr>
      </w:pPr>
      <w:r>
        <w:rPr>
          <w:color w:val="000000"/>
        </w:rPr>
        <w:t>Still</w:t>
      </w:r>
      <w:r w:rsidR="007E2D0F">
        <w:rPr>
          <w:color w:val="000000"/>
        </w:rPr>
        <w:t xml:space="preserve">, </w:t>
      </w:r>
      <w:r w:rsidR="007E2D0F">
        <w:rPr>
          <w:color w:val="000000"/>
          <w:u w:val="single"/>
        </w:rPr>
        <w:t>McCoy</w:t>
      </w:r>
      <w:r w:rsidR="007E2D0F">
        <w:rPr>
          <w:color w:val="000000"/>
        </w:rPr>
        <w:t xml:space="preserve"> does not control within the child welfare context</w:t>
      </w:r>
      <w:r w:rsidR="00B40EE4">
        <w:rPr>
          <w:color w:val="000000"/>
        </w:rPr>
        <w:t xml:space="preserve">. </w:t>
      </w:r>
      <w:r w:rsidR="00B40EE4">
        <w:rPr>
          <w:color w:val="000000"/>
          <w:u w:val="single"/>
        </w:rPr>
        <w:t>McCoy</w:t>
      </w:r>
      <w:r w:rsidR="00B40EE4" w:rsidRPr="00B3362D">
        <w:rPr>
          <w:color w:val="000000"/>
        </w:rPr>
        <w:t xml:space="preserve"> </w:t>
      </w:r>
      <w:r w:rsidR="00B40EE4">
        <w:rPr>
          <w:color w:val="000000"/>
        </w:rPr>
        <w:t xml:space="preserve">addresses the criminal defendant’s right to counsel under the Sixth Amendment, which </w:t>
      </w:r>
      <w:r w:rsidR="007E2D0F">
        <w:rPr>
          <w:color w:val="000000"/>
        </w:rPr>
        <w:t xml:space="preserve">does not extend to civil cases. </w:t>
      </w:r>
      <w:r w:rsidR="007E2D0F">
        <w:rPr>
          <w:color w:val="000000"/>
          <w:u w:val="single"/>
        </w:rPr>
        <w:t>See</w:t>
      </w:r>
      <w:r w:rsidR="007E2D0F">
        <w:rPr>
          <w:color w:val="000000"/>
        </w:rPr>
        <w:t xml:space="preserve"> </w:t>
      </w:r>
      <w:r w:rsidR="00427110" w:rsidRPr="00176E98">
        <w:rPr>
          <w:color w:val="000000"/>
        </w:rPr>
        <w:t xml:space="preserve">Susan Calkins, </w:t>
      </w:r>
      <w:r w:rsidR="00427110" w:rsidRPr="00176E98">
        <w:rPr>
          <w:color w:val="000000"/>
          <w:u w:val="single"/>
        </w:rPr>
        <w:t>Ine</w:t>
      </w:r>
      <w:r w:rsidR="00427110">
        <w:rPr>
          <w:color w:val="000000"/>
          <w:u w:val="single"/>
        </w:rPr>
        <w:t>ffective Assistance of Counsel i</w:t>
      </w:r>
      <w:r w:rsidR="00427110" w:rsidRPr="00176E98">
        <w:rPr>
          <w:color w:val="000000"/>
          <w:u w:val="single"/>
        </w:rPr>
        <w:t>n Parental-Rights Termination Cases: The Challenge for Appellate Courts</w:t>
      </w:r>
      <w:r w:rsidR="00427110" w:rsidRPr="00176E98">
        <w:rPr>
          <w:color w:val="000000"/>
        </w:rPr>
        <w:t xml:space="preserve">, 6 J. App. </w:t>
      </w:r>
      <w:r w:rsidR="00427110">
        <w:rPr>
          <w:color w:val="000000"/>
        </w:rPr>
        <w:t>Prac. &amp; Process 179, 187 (2004)</w:t>
      </w:r>
      <w:r w:rsidR="007E2D0F">
        <w:rPr>
          <w:color w:val="000000"/>
        </w:rPr>
        <w:t>. In Massachusetts the right to counsel in child welfare proceeding is based upon statute and due process.</w:t>
      </w:r>
      <w:r w:rsidR="007E2D0F" w:rsidRPr="00A021F8">
        <w:rPr>
          <w:color w:val="000000"/>
        </w:rPr>
        <w:t xml:space="preserve"> </w:t>
      </w:r>
      <w:r w:rsidR="007E2D0F">
        <w:rPr>
          <w:color w:val="000000"/>
          <w:u w:val="single"/>
        </w:rPr>
        <w:t>See</w:t>
      </w:r>
      <w:r w:rsidR="007E2D0F">
        <w:rPr>
          <w:color w:val="000000"/>
        </w:rPr>
        <w:t xml:space="preserve"> G. L. c. 119</w:t>
      </w:r>
      <w:r w:rsidR="00171A27">
        <w:rPr>
          <w:color w:val="000000"/>
        </w:rPr>
        <w:t>,</w:t>
      </w:r>
      <w:r w:rsidR="007E2D0F">
        <w:rPr>
          <w:color w:val="000000"/>
        </w:rPr>
        <w:t xml:space="preserve"> §29; </w:t>
      </w:r>
      <w:r w:rsidR="00B40EE4" w:rsidRPr="00B40EE4">
        <w:rPr>
          <w:color w:val="000000"/>
        </w:rPr>
        <w:t xml:space="preserve"> </w:t>
      </w:r>
      <w:r w:rsidR="007E2D0F">
        <w:rPr>
          <w:color w:val="000000"/>
          <w:u w:val="single"/>
        </w:rPr>
        <w:t>J.K.B.</w:t>
      </w:r>
      <w:r w:rsidR="007E2D0F">
        <w:rPr>
          <w:color w:val="000000"/>
        </w:rPr>
        <w:t xml:space="preserve">, 379 Mass. at 3. </w:t>
      </w:r>
      <w:r w:rsidR="00B40EE4">
        <w:rPr>
          <w:color w:val="000000"/>
        </w:rPr>
        <w:t xml:space="preserve"> However, </w:t>
      </w:r>
      <w:r>
        <w:rPr>
          <w:color w:val="000000"/>
        </w:rPr>
        <w:t>pre-</w:t>
      </w:r>
      <w:r>
        <w:rPr>
          <w:color w:val="000000"/>
          <w:u w:val="single"/>
        </w:rPr>
        <w:t>McCoy</w:t>
      </w:r>
      <w:r>
        <w:rPr>
          <w:color w:val="000000"/>
        </w:rPr>
        <w:t xml:space="preserve"> </w:t>
      </w:r>
      <w:r w:rsidR="00F24161">
        <w:rPr>
          <w:color w:val="000000"/>
        </w:rPr>
        <w:t>a</w:t>
      </w:r>
      <w:r w:rsidR="00482D44">
        <w:rPr>
          <w:color w:val="000000"/>
        </w:rPr>
        <w:t>ppellate decisions in</w:t>
      </w:r>
      <w:r w:rsidR="00D920E7">
        <w:rPr>
          <w:color w:val="000000"/>
        </w:rPr>
        <w:t xml:space="preserve"> several</w:t>
      </w:r>
      <w:r w:rsidR="00A021F8">
        <w:rPr>
          <w:color w:val="000000"/>
        </w:rPr>
        <w:t xml:space="preserve"> ju</w:t>
      </w:r>
      <w:r w:rsidR="00482D44">
        <w:rPr>
          <w:color w:val="000000"/>
        </w:rPr>
        <w:t>risdictions suggest</w:t>
      </w:r>
      <w:r w:rsidR="009219A2">
        <w:rPr>
          <w:color w:val="000000"/>
        </w:rPr>
        <w:t xml:space="preserve"> that</w:t>
      </w:r>
      <w:r w:rsidR="00672FA5">
        <w:rPr>
          <w:color w:val="000000"/>
        </w:rPr>
        <w:t xml:space="preserve"> </w:t>
      </w:r>
      <w:r w:rsidR="00171A27">
        <w:rPr>
          <w:color w:val="000000"/>
        </w:rPr>
        <w:t xml:space="preserve">the </w:t>
      </w:r>
      <w:r w:rsidR="00482D44">
        <w:rPr>
          <w:color w:val="000000"/>
        </w:rPr>
        <w:t xml:space="preserve">unauthorized </w:t>
      </w:r>
      <w:r w:rsidR="003E17CC">
        <w:rPr>
          <w:color w:val="000000"/>
        </w:rPr>
        <w:t>concession</w:t>
      </w:r>
      <w:r w:rsidR="00A021F8">
        <w:rPr>
          <w:color w:val="000000"/>
        </w:rPr>
        <w:t xml:space="preserve"> of guilt</w:t>
      </w:r>
      <w:r w:rsidR="00672FA5">
        <w:rPr>
          <w:color w:val="000000"/>
        </w:rPr>
        <w:t xml:space="preserve"> </w:t>
      </w:r>
      <w:r w:rsidR="00A021F8">
        <w:rPr>
          <w:color w:val="000000"/>
        </w:rPr>
        <w:t>violate</w:t>
      </w:r>
      <w:r w:rsidR="00171A27">
        <w:rPr>
          <w:color w:val="000000"/>
        </w:rPr>
        <w:t>s</w:t>
      </w:r>
      <w:r w:rsidR="003E17CC">
        <w:rPr>
          <w:color w:val="000000"/>
        </w:rPr>
        <w:t xml:space="preserve"> </w:t>
      </w:r>
      <w:r w:rsidR="00482D44">
        <w:rPr>
          <w:color w:val="000000"/>
        </w:rPr>
        <w:t>a defendant’s</w:t>
      </w:r>
      <w:r w:rsidR="009219A2">
        <w:rPr>
          <w:color w:val="000000"/>
        </w:rPr>
        <w:t xml:space="preserve"> du</w:t>
      </w:r>
      <w:r w:rsidR="00482D44">
        <w:rPr>
          <w:color w:val="000000"/>
        </w:rPr>
        <w:t>e process right to a fair trial, not just the defendant’s</w:t>
      </w:r>
      <w:r w:rsidR="009219A2">
        <w:rPr>
          <w:color w:val="000000"/>
        </w:rPr>
        <w:t xml:space="preserve"> Sixth Amendment </w:t>
      </w:r>
      <w:r w:rsidR="00482D44">
        <w:rPr>
          <w:color w:val="000000"/>
        </w:rPr>
        <w:t xml:space="preserve">rights. </w:t>
      </w:r>
      <w:r w:rsidR="00452A52" w:rsidRPr="00452A52">
        <w:rPr>
          <w:color w:val="000000"/>
          <w:u w:val="single"/>
        </w:rPr>
        <w:t>See</w:t>
      </w:r>
      <w:r w:rsidR="00452A52">
        <w:rPr>
          <w:color w:val="000000"/>
        </w:rPr>
        <w:t xml:space="preserve"> </w:t>
      </w:r>
      <w:r w:rsidR="003E17CC">
        <w:rPr>
          <w:color w:val="000000"/>
          <w:u w:val="single"/>
        </w:rPr>
        <w:t>Cooke v. State</w:t>
      </w:r>
      <w:r w:rsidR="003E17CC">
        <w:rPr>
          <w:color w:val="000000"/>
        </w:rPr>
        <w:t xml:space="preserve">, </w:t>
      </w:r>
      <w:r w:rsidR="003E17CC">
        <w:t>977 A.2d 803, 808 (</w:t>
      </w:r>
      <w:r w:rsidR="00E21524">
        <w:t xml:space="preserve">Del. </w:t>
      </w:r>
      <w:r w:rsidR="003E17CC">
        <w:t>2009) (concluding that</w:t>
      </w:r>
      <w:r w:rsidR="00B40EE4">
        <w:t xml:space="preserve"> trial counsel’s</w:t>
      </w:r>
      <w:r w:rsidR="003E17CC">
        <w:t xml:space="preserve"> concession of guilt “so undermined the proper functioning of the adversarial process contemplated by the Sixth Amendment and the Due Process Clause that the trial cannot be relied upon as having produced a just result”)</w:t>
      </w:r>
      <w:r w:rsidR="00E00299">
        <w:t xml:space="preserve"> </w:t>
      </w:r>
      <w:r w:rsidR="00E00299">
        <w:rPr>
          <w:color w:val="000000"/>
        </w:rPr>
        <w:t xml:space="preserve">(cited in </w:t>
      </w:r>
      <w:r w:rsidR="00E00299">
        <w:rPr>
          <w:color w:val="000000"/>
          <w:u w:val="single"/>
        </w:rPr>
        <w:t>McCoy</w:t>
      </w:r>
      <w:r w:rsidR="00E00299">
        <w:rPr>
          <w:color w:val="000000"/>
        </w:rPr>
        <w:t>, 200 L. Ed. 2d at 829)</w:t>
      </w:r>
      <w:r w:rsidR="003E17CC">
        <w:t xml:space="preserve">; </w:t>
      </w:r>
      <w:r w:rsidR="003E17CC">
        <w:rPr>
          <w:u w:val="single"/>
        </w:rPr>
        <w:t>see also</w:t>
      </w:r>
      <w:r w:rsidR="003E17CC" w:rsidRPr="003E17CC">
        <w:t xml:space="preserve"> </w:t>
      </w:r>
      <w:r w:rsidR="00452A52">
        <w:rPr>
          <w:color w:val="000000"/>
          <w:u w:val="single"/>
        </w:rPr>
        <w:t>State v. Carter</w:t>
      </w:r>
      <w:r w:rsidR="00452A52">
        <w:rPr>
          <w:color w:val="000000"/>
        </w:rPr>
        <w:t>, 27</w:t>
      </w:r>
      <w:r w:rsidR="00482D44">
        <w:rPr>
          <w:color w:val="000000"/>
        </w:rPr>
        <w:t xml:space="preserve">0 Kan. 426, 440 (2000) (holding </w:t>
      </w:r>
      <w:r w:rsidR="00452A52">
        <w:rPr>
          <w:color w:val="000000"/>
        </w:rPr>
        <w:t>that counsel’s admission of client’s involvement in murder against client</w:t>
      </w:r>
      <w:r w:rsidR="00E00299">
        <w:rPr>
          <w:color w:val="000000"/>
        </w:rPr>
        <w:t>’</w:t>
      </w:r>
      <w:r w:rsidR="00452A52">
        <w:rPr>
          <w:color w:val="000000"/>
        </w:rPr>
        <w:t xml:space="preserve">s adamant </w:t>
      </w:r>
      <w:r w:rsidR="00E00299">
        <w:rPr>
          <w:color w:val="000000"/>
        </w:rPr>
        <w:t>protests contravened the Sixth A</w:t>
      </w:r>
      <w:r w:rsidR="00452A52">
        <w:rPr>
          <w:color w:val="000000"/>
        </w:rPr>
        <w:t xml:space="preserve">mendment right to counsel and </w:t>
      </w:r>
      <w:r w:rsidR="00672FA5">
        <w:rPr>
          <w:color w:val="000000"/>
        </w:rPr>
        <w:t xml:space="preserve">the </w:t>
      </w:r>
      <w:r w:rsidR="00452A52">
        <w:rPr>
          <w:color w:val="000000"/>
        </w:rPr>
        <w:t xml:space="preserve">due process right </w:t>
      </w:r>
      <w:r w:rsidR="003E17CC">
        <w:rPr>
          <w:color w:val="000000"/>
        </w:rPr>
        <w:t>to a fair trial)</w:t>
      </w:r>
      <w:r w:rsidR="00E00299">
        <w:rPr>
          <w:color w:val="000000"/>
        </w:rPr>
        <w:t xml:space="preserve"> (cited in </w:t>
      </w:r>
      <w:r w:rsidR="00E00299">
        <w:rPr>
          <w:color w:val="000000"/>
          <w:u w:val="single"/>
        </w:rPr>
        <w:t>McCoy</w:t>
      </w:r>
      <w:r w:rsidR="00E00299">
        <w:rPr>
          <w:color w:val="000000"/>
        </w:rPr>
        <w:t xml:space="preserve">, 200 L. Ed. 2d at 829). </w:t>
      </w:r>
      <w:r w:rsidR="00482D44">
        <w:rPr>
          <w:color w:val="000000"/>
        </w:rPr>
        <w:t xml:space="preserve">These cases suggest </w:t>
      </w:r>
      <w:r w:rsidR="00B40EE4">
        <w:rPr>
          <w:color w:val="000000"/>
        </w:rPr>
        <w:t xml:space="preserve">that </w:t>
      </w:r>
      <w:r w:rsidR="00482D44" w:rsidRPr="004A628E">
        <w:rPr>
          <w:color w:val="000000"/>
          <w:u w:val="single"/>
        </w:rPr>
        <w:t>McCoy</w:t>
      </w:r>
      <w:r w:rsidR="00482D44">
        <w:rPr>
          <w:color w:val="000000"/>
        </w:rPr>
        <w:t xml:space="preserve"> applies </w:t>
      </w:r>
      <w:r w:rsidR="00A021F8">
        <w:rPr>
          <w:color w:val="000000"/>
        </w:rPr>
        <w:t xml:space="preserve">to instances in which the right to counsel is based upon due process as well as those </w:t>
      </w:r>
      <w:r w:rsidR="00E00299">
        <w:rPr>
          <w:color w:val="000000"/>
        </w:rPr>
        <w:t>guaranteed by the Sixth Amendment.</w:t>
      </w:r>
      <w:r w:rsidR="000A4033" w:rsidRPr="000A4033">
        <w:rPr>
          <w:color w:val="000000"/>
        </w:rPr>
        <w:t xml:space="preserve"> </w:t>
      </w:r>
    </w:p>
    <w:p w:rsidR="00FD3AE5" w:rsidRDefault="00A021F8" w:rsidP="00B40EE4">
      <w:pPr>
        <w:pStyle w:val="NormalWeb"/>
        <w:spacing w:before="0" w:beforeAutospacing="0" w:after="200" w:afterAutospacing="0" w:line="480" w:lineRule="auto"/>
        <w:ind w:firstLine="720"/>
        <w:rPr>
          <w:color w:val="000000"/>
        </w:rPr>
      </w:pPr>
      <w:r>
        <w:rPr>
          <w:color w:val="000000"/>
        </w:rPr>
        <w:t xml:space="preserve"> </w:t>
      </w:r>
      <w:r w:rsidR="00D075CE">
        <w:rPr>
          <w:color w:val="000000"/>
        </w:rPr>
        <w:t>Additionally, t</w:t>
      </w:r>
      <w:r w:rsidR="002D14B6">
        <w:rPr>
          <w:color w:val="000000"/>
        </w:rPr>
        <w:t xml:space="preserve">he Massachusetts </w:t>
      </w:r>
      <w:r w:rsidR="00C832B1">
        <w:rPr>
          <w:color w:val="000000"/>
        </w:rPr>
        <w:t xml:space="preserve">Supreme </w:t>
      </w:r>
      <w:r w:rsidR="00B40EE4">
        <w:rPr>
          <w:color w:val="000000"/>
        </w:rPr>
        <w:t>Judicial Court has</w:t>
      </w:r>
      <w:r w:rsidR="002D14B6">
        <w:rPr>
          <w:color w:val="000000"/>
        </w:rPr>
        <w:t xml:space="preserve"> </w:t>
      </w:r>
      <w:r w:rsidR="00D920E7">
        <w:rPr>
          <w:color w:val="000000"/>
        </w:rPr>
        <w:t xml:space="preserve">historically </w:t>
      </w:r>
      <w:r w:rsidR="00B40EE4">
        <w:rPr>
          <w:color w:val="000000"/>
        </w:rPr>
        <w:t xml:space="preserve">treated unauthorized concessions of guilt the same way the Supreme Court treated the matter in </w:t>
      </w:r>
      <w:r w:rsidR="00B40EE4" w:rsidRPr="00B40EE4">
        <w:rPr>
          <w:color w:val="000000"/>
          <w:u w:val="single"/>
        </w:rPr>
        <w:t>McCoy</w:t>
      </w:r>
      <w:r w:rsidR="00E00299">
        <w:rPr>
          <w:color w:val="000000"/>
        </w:rPr>
        <w:t>.</w:t>
      </w:r>
      <w:r w:rsidR="001009F9">
        <w:rPr>
          <w:color w:val="000000"/>
        </w:rPr>
        <w:t xml:space="preserve"> </w:t>
      </w:r>
      <w:r w:rsidR="00B40EE4">
        <w:rPr>
          <w:color w:val="000000"/>
        </w:rPr>
        <w:t>Although the Supr</w:t>
      </w:r>
      <w:r w:rsidR="00C832B1">
        <w:rPr>
          <w:color w:val="000000"/>
        </w:rPr>
        <w:t>eme</w:t>
      </w:r>
      <w:r w:rsidR="00B40EE4">
        <w:rPr>
          <w:color w:val="000000"/>
        </w:rPr>
        <w:t xml:space="preserve"> Judicial Court has applied </w:t>
      </w:r>
      <w:r w:rsidR="002965B7">
        <w:rPr>
          <w:color w:val="000000"/>
        </w:rPr>
        <w:t xml:space="preserve">the two-prong </w:t>
      </w:r>
      <w:r w:rsidR="002965B7" w:rsidRPr="00A05BDA">
        <w:rPr>
          <w:color w:val="000000"/>
          <w:u w:val="single"/>
        </w:rPr>
        <w:t>Saferian</w:t>
      </w:r>
      <w:r w:rsidR="002D14B6">
        <w:rPr>
          <w:color w:val="000000"/>
        </w:rPr>
        <w:t xml:space="preserve"> test</w:t>
      </w:r>
      <w:r w:rsidR="00B40EE4">
        <w:rPr>
          <w:color w:val="000000"/>
        </w:rPr>
        <w:t>, it concluded that the unauthorized concession of guilt satisfies both prongs.</w:t>
      </w:r>
      <w:r w:rsidR="002D14B6">
        <w:rPr>
          <w:color w:val="000000"/>
        </w:rPr>
        <w:t xml:space="preserve"> </w:t>
      </w:r>
      <w:r w:rsidR="0060519C" w:rsidRPr="0060519C">
        <w:rPr>
          <w:color w:val="000000"/>
          <w:u w:val="single"/>
        </w:rPr>
        <w:t>See</w:t>
      </w:r>
      <w:r w:rsidR="004110F6">
        <w:rPr>
          <w:color w:val="000000"/>
        </w:rPr>
        <w:t xml:space="preserve"> </w:t>
      </w:r>
      <w:r w:rsidR="004110F6">
        <w:rPr>
          <w:color w:val="000000"/>
          <w:u w:val="single"/>
        </w:rPr>
        <w:t>Commonwealth v. Triplett</w:t>
      </w:r>
      <w:r w:rsidR="004110F6">
        <w:rPr>
          <w:color w:val="000000"/>
        </w:rPr>
        <w:t>,</w:t>
      </w:r>
      <w:r w:rsidR="0060519C">
        <w:rPr>
          <w:color w:val="000000"/>
        </w:rPr>
        <w:t xml:space="preserve"> 398 Mass. 561, 568-9 (1986)</w:t>
      </w:r>
      <w:r w:rsidR="004110F6">
        <w:rPr>
          <w:color w:val="000000"/>
        </w:rPr>
        <w:t xml:space="preserve"> </w:t>
      </w:r>
      <w:r w:rsidR="00F24161">
        <w:rPr>
          <w:color w:val="000000"/>
        </w:rPr>
        <w:t xml:space="preserve">(holding </w:t>
      </w:r>
      <w:r w:rsidR="004110F6">
        <w:rPr>
          <w:color w:val="000000"/>
        </w:rPr>
        <w:t>that counsel’s closing statements which were “tantamount to an admission of his client’s guilt” constituted in</w:t>
      </w:r>
      <w:r w:rsidR="0060519C">
        <w:rPr>
          <w:color w:val="000000"/>
        </w:rPr>
        <w:t xml:space="preserve">effective assistance of counsel); </w:t>
      </w:r>
      <w:r w:rsidR="004110F6">
        <w:rPr>
          <w:color w:val="000000"/>
          <w:u w:val="single"/>
        </w:rPr>
        <w:t>Commonwealth v. Westmoreland</w:t>
      </w:r>
      <w:r w:rsidR="00D00BB4">
        <w:rPr>
          <w:color w:val="000000"/>
        </w:rPr>
        <w:t>, 388 Mass. 269</w:t>
      </w:r>
      <w:r w:rsidR="004110F6">
        <w:rPr>
          <w:color w:val="000000"/>
        </w:rPr>
        <w:t>, 586 (1983) (</w:t>
      </w:r>
      <w:r w:rsidR="00F24161">
        <w:rPr>
          <w:color w:val="000000"/>
        </w:rPr>
        <w:t>concluding</w:t>
      </w:r>
      <w:r w:rsidR="004110F6">
        <w:rPr>
          <w:color w:val="000000"/>
        </w:rPr>
        <w:t xml:space="preserve"> that defendant was deprived of the effective assistance of counsel when counsel suggested that temporary insanity was likely not applicable and instead argued for a verdict of guilty of voluntary manslaughter despite the lack of evidence of provocation). </w:t>
      </w:r>
      <w:r w:rsidR="001215FF">
        <w:rPr>
          <w:color w:val="000000"/>
        </w:rPr>
        <w:t>The C</w:t>
      </w:r>
      <w:r w:rsidR="00B40EE4">
        <w:rPr>
          <w:color w:val="000000"/>
        </w:rPr>
        <w:t xml:space="preserve">ourt’s early acknowledgement of the damage caused by unauthorized concessions of guilt suggests that it may be more open to a broader interpretation of </w:t>
      </w:r>
      <w:r w:rsidR="00B40EE4" w:rsidRPr="00B40EE4">
        <w:rPr>
          <w:color w:val="000000"/>
          <w:u w:val="single"/>
        </w:rPr>
        <w:t>McCoy</w:t>
      </w:r>
      <w:r w:rsidR="00B40EE4">
        <w:rPr>
          <w:color w:val="000000"/>
        </w:rPr>
        <w:t xml:space="preserve"> and more likely to extend the holding to child welfare cases. </w:t>
      </w:r>
    </w:p>
    <w:p w:rsidR="00EB2B60" w:rsidRDefault="00D17087" w:rsidP="00B40EE4">
      <w:pPr>
        <w:pStyle w:val="NormalWeb"/>
        <w:numPr>
          <w:ilvl w:val="1"/>
          <w:numId w:val="8"/>
        </w:numPr>
        <w:spacing w:before="0" w:beforeAutospacing="0" w:after="200" w:afterAutospacing="0"/>
        <w:textAlignment w:val="baseline"/>
        <w:rPr>
          <w:b/>
          <w:bCs/>
          <w:color w:val="000000"/>
        </w:rPr>
      </w:pPr>
      <w:r>
        <w:rPr>
          <w:b/>
          <w:bCs/>
          <w:color w:val="000000"/>
        </w:rPr>
        <w:t>Application to Father</w:t>
      </w:r>
    </w:p>
    <w:p w:rsidR="0025618C" w:rsidRPr="0029424E" w:rsidRDefault="0025618C" w:rsidP="005C6AD2">
      <w:pPr>
        <w:pStyle w:val="NormalWeb"/>
        <w:spacing w:before="0" w:beforeAutospacing="0" w:after="200" w:afterAutospacing="0" w:line="480" w:lineRule="auto"/>
        <w:ind w:left="90" w:firstLine="630"/>
        <w:textAlignment w:val="baseline"/>
        <w:rPr>
          <w:bCs/>
          <w:color w:val="000000"/>
        </w:rPr>
      </w:pPr>
      <w:r w:rsidRPr="0025618C">
        <w:rPr>
          <w:bCs/>
          <w:color w:val="000000"/>
          <w:u w:val="single"/>
        </w:rPr>
        <w:t>McCoy</w:t>
      </w:r>
      <w:r w:rsidR="00D17087">
        <w:rPr>
          <w:bCs/>
          <w:color w:val="000000"/>
        </w:rPr>
        <w:t xml:space="preserve"> suggests that</w:t>
      </w:r>
      <w:r>
        <w:rPr>
          <w:bCs/>
          <w:color w:val="000000"/>
        </w:rPr>
        <w:t xml:space="preserve"> </w:t>
      </w:r>
      <w:r w:rsidRPr="0025618C">
        <w:rPr>
          <w:bCs/>
          <w:color w:val="000000"/>
        </w:rPr>
        <w:t>Father</w:t>
      </w:r>
      <w:r>
        <w:rPr>
          <w:bCs/>
          <w:color w:val="000000"/>
        </w:rPr>
        <w:t xml:space="preserve"> </w:t>
      </w:r>
      <w:r w:rsidR="00D17087">
        <w:rPr>
          <w:bCs/>
          <w:color w:val="000000"/>
        </w:rPr>
        <w:t>can</w:t>
      </w:r>
      <w:r>
        <w:rPr>
          <w:bCs/>
          <w:color w:val="000000"/>
        </w:rPr>
        <w:t xml:space="preserve"> succeed on a claim of c</w:t>
      </w:r>
      <w:r w:rsidR="005C6AD2">
        <w:rPr>
          <w:bCs/>
          <w:color w:val="000000"/>
        </w:rPr>
        <w:t xml:space="preserve">onstructive </w:t>
      </w:r>
      <w:r>
        <w:rPr>
          <w:bCs/>
          <w:color w:val="000000"/>
        </w:rPr>
        <w:t>denial of counsel.</w:t>
      </w:r>
      <w:r w:rsidR="005C6AD2">
        <w:rPr>
          <w:bCs/>
          <w:color w:val="000000"/>
        </w:rPr>
        <w:t xml:space="preserve"> By conceding unfitness </w:t>
      </w:r>
      <w:r w:rsidR="00D17087">
        <w:rPr>
          <w:bCs/>
          <w:color w:val="000000"/>
        </w:rPr>
        <w:t xml:space="preserve">against Father’s </w:t>
      </w:r>
      <w:r w:rsidR="00171A27">
        <w:rPr>
          <w:bCs/>
          <w:color w:val="000000"/>
        </w:rPr>
        <w:t xml:space="preserve">express </w:t>
      </w:r>
      <w:r w:rsidR="00D17087">
        <w:rPr>
          <w:bCs/>
          <w:color w:val="000000"/>
        </w:rPr>
        <w:t>wishes, trial counsel conceded the most important</w:t>
      </w:r>
      <w:r w:rsidR="005C6AD2">
        <w:rPr>
          <w:bCs/>
          <w:color w:val="000000"/>
        </w:rPr>
        <w:t xml:space="preserve"> issue in dispute.</w:t>
      </w:r>
      <w:r w:rsidR="005C6AD2" w:rsidRPr="005C6AD2">
        <w:rPr>
          <w:bCs/>
          <w:color w:val="000000"/>
        </w:rPr>
        <w:t xml:space="preserve"> </w:t>
      </w:r>
      <w:r w:rsidR="0029424E">
        <w:rPr>
          <w:bCs/>
          <w:color w:val="000000"/>
          <w:u w:val="single"/>
        </w:rPr>
        <w:t>See</w:t>
      </w:r>
      <w:r w:rsidR="0029424E">
        <w:rPr>
          <w:bCs/>
          <w:color w:val="000000"/>
        </w:rPr>
        <w:t xml:space="preserve"> </w:t>
      </w:r>
      <w:r w:rsidR="0029424E">
        <w:rPr>
          <w:color w:val="000000"/>
          <w:u w:val="single"/>
        </w:rPr>
        <w:t>Three Minors</w:t>
      </w:r>
      <w:r w:rsidR="0029424E">
        <w:rPr>
          <w:color w:val="000000"/>
        </w:rPr>
        <w:t xml:space="preserve">, 392 Mass. at 714. </w:t>
      </w:r>
      <w:r w:rsidR="005C6AD2">
        <w:rPr>
          <w:bCs/>
          <w:color w:val="000000"/>
        </w:rPr>
        <w:t>Because parental unfitness is the critical inquiry in termination proceeding</w:t>
      </w:r>
      <w:r w:rsidR="0029424E">
        <w:rPr>
          <w:bCs/>
          <w:color w:val="000000"/>
        </w:rPr>
        <w:t>s</w:t>
      </w:r>
      <w:r w:rsidR="005C6AD2">
        <w:rPr>
          <w:bCs/>
          <w:color w:val="000000"/>
        </w:rPr>
        <w:t>, conceding unfitness to focus</w:t>
      </w:r>
      <w:r w:rsidR="005C6AD2">
        <w:rPr>
          <w:color w:val="000000"/>
        </w:rPr>
        <w:t xml:space="preserve"> on whether termination served the child’s best interests</w:t>
      </w:r>
      <w:r w:rsidR="0029424E">
        <w:rPr>
          <w:color w:val="000000"/>
        </w:rPr>
        <w:t xml:space="preserve"> is akin to seeking leniency </w:t>
      </w:r>
      <w:r w:rsidR="00D17087">
        <w:rPr>
          <w:color w:val="000000"/>
        </w:rPr>
        <w:t>in sentencing following the unauthorized</w:t>
      </w:r>
      <w:r w:rsidR="0029424E">
        <w:rPr>
          <w:color w:val="000000"/>
        </w:rPr>
        <w:t xml:space="preserve"> concession of guilt. </w:t>
      </w:r>
      <w:r w:rsidR="0029424E" w:rsidRPr="0029424E">
        <w:rPr>
          <w:color w:val="000000"/>
        </w:rPr>
        <w:t>Trial</w:t>
      </w:r>
      <w:r w:rsidR="0029424E">
        <w:rPr>
          <w:color w:val="000000"/>
        </w:rPr>
        <w:t xml:space="preserve"> counsel’</w:t>
      </w:r>
      <w:r w:rsidR="002564FD">
        <w:rPr>
          <w:color w:val="000000"/>
        </w:rPr>
        <w:t>s concession of unfitness therefore satisfies</w:t>
      </w:r>
      <w:r w:rsidR="0029424E">
        <w:rPr>
          <w:color w:val="000000"/>
        </w:rPr>
        <w:t xml:space="preserve"> situation (2) </w:t>
      </w:r>
      <w:r w:rsidR="002564FD">
        <w:rPr>
          <w:color w:val="000000"/>
        </w:rPr>
        <w:t>of the constructive denial of counsel analysis.</w:t>
      </w:r>
      <w:r w:rsidR="002564FD" w:rsidRPr="002564FD">
        <w:rPr>
          <w:color w:val="000000"/>
        </w:rPr>
        <w:t xml:space="preserve"> </w:t>
      </w:r>
      <w:r w:rsidR="00F24161">
        <w:rPr>
          <w:color w:val="000000"/>
          <w:u w:val="single"/>
        </w:rPr>
        <w:t>See</w:t>
      </w:r>
      <w:r w:rsidR="00F24161" w:rsidRPr="002564FD">
        <w:rPr>
          <w:color w:val="000000"/>
        </w:rPr>
        <w:t xml:space="preserve"> </w:t>
      </w:r>
      <w:r w:rsidR="00F24161">
        <w:rPr>
          <w:color w:val="000000"/>
          <w:u w:val="single"/>
        </w:rPr>
        <w:t>McCoy</w:t>
      </w:r>
      <w:r w:rsidR="00D17087">
        <w:rPr>
          <w:color w:val="000000"/>
        </w:rPr>
        <w:t xml:space="preserve">, 200 L. Ed. 2d at 827; </w:t>
      </w:r>
      <w:r w:rsidR="00D17087">
        <w:rPr>
          <w:color w:val="000000"/>
          <w:u w:val="single"/>
        </w:rPr>
        <w:t>Cronic</w:t>
      </w:r>
      <w:r w:rsidR="00D17087">
        <w:rPr>
          <w:color w:val="000000"/>
        </w:rPr>
        <w:t xml:space="preserve">, 466 U.S. at 658. </w:t>
      </w:r>
      <w:r w:rsidR="002564FD">
        <w:rPr>
          <w:color w:val="000000"/>
        </w:rPr>
        <w:t>In completely failing to provide a meaningful adversarial test</w:t>
      </w:r>
      <w:r w:rsidR="00171A27">
        <w:rPr>
          <w:color w:val="000000"/>
        </w:rPr>
        <w:t xml:space="preserve"> to DCF’s case</w:t>
      </w:r>
      <w:r w:rsidR="002564FD">
        <w:rPr>
          <w:color w:val="000000"/>
        </w:rPr>
        <w:t xml:space="preserve">, trial </w:t>
      </w:r>
      <w:r w:rsidR="00F24161">
        <w:rPr>
          <w:color w:val="000000"/>
        </w:rPr>
        <w:t>counsel constructively denied Father the right to counsel.</w:t>
      </w:r>
      <w:r w:rsidR="002564FD">
        <w:rPr>
          <w:color w:val="000000"/>
        </w:rPr>
        <w:t xml:space="preserve"> </w:t>
      </w:r>
      <w:r w:rsidR="00D17087">
        <w:rPr>
          <w:color w:val="000000"/>
          <w:u w:val="single"/>
        </w:rPr>
        <w:t>Id.</w:t>
      </w:r>
      <w:r w:rsidR="00D17087" w:rsidRPr="00D17087">
        <w:rPr>
          <w:color w:val="000000"/>
        </w:rPr>
        <w:t xml:space="preserve"> </w:t>
      </w:r>
      <w:r w:rsidR="0029424E">
        <w:rPr>
          <w:color w:val="000000"/>
        </w:rPr>
        <w:t xml:space="preserve">As a result, a finding of prejudice is not required. </w:t>
      </w:r>
      <w:r w:rsidR="0029424E" w:rsidRPr="0029424E">
        <w:rPr>
          <w:color w:val="000000"/>
          <w:u w:val="single"/>
        </w:rPr>
        <w:t>See</w:t>
      </w:r>
      <w:r w:rsidR="0029424E" w:rsidRPr="0029424E">
        <w:rPr>
          <w:color w:val="000000"/>
        </w:rPr>
        <w:t xml:space="preserve"> </w:t>
      </w:r>
      <w:r w:rsidR="0029424E" w:rsidRPr="0029424E">
        <w:rPr>
          <w:color w:val="000000"/>
          <w:u w:val="single"/>
        </w:rPr>
        <w:t>Goodman</w:t>
      </w:r>
      <w:r w:rsidR="0029424E">
        <w:rPr>
          <w:color w:val="000000"/>
        </w:rPr>
        <w:t>, 60 Mass. App. Ct. at 609.</w:t>
      </w:r>
    </w:p>
    <w:p w:rsidR="00C9174B" w:rsidRDefault="00FD3AE5" w:rsidP="005C6AD2">
      <w:pPr>
        <w:pStyle w:val="NormalWeb"/>
        <w:spacing w:before="0" w:beforeAutospacing="0" w:after="200" w:afterAutospacing="0" w:line="480" w:lineRule="auto"/>
        <w:rPr>
          <w:b/>
          <w:bCs/>
          <w:color w:val="000000"/>
        </w:rPr>
      </w:pPr>
      <w:r>
        <w:rPr>
          <w:b/>
          <w:bCs/>
          <w:color w:val="000000"/>
        </w:rPr>
        <w:t>Conclusion</w:t>
      </w:r>
      <w:r w:rsidR="008821DF">
        <w:rPr>
          <w:b/>
          <w:bCs/>
          <w:color w:val="000000"/>
        </w:rPr>
        <w:t>:</w:t>
      </w:r>
    </w:p>
    <w:p w:rsidR="00EB2B60" w:rsidRPr="00EB2B60" w:rsidRDefault="00EB2B60" w:rsidP="005C6AD2">
      <w:pPr>
        <w:pStyle w:val="NormalWeb"/>
        <w:spacing w:before="0" w:beforeAutospacing="0" w:after="200" w:afterAutospacing="0" w:line="480" w:lineRule="auto"/>
        <w:ind w:firstLine="720"/>
        <w:textAlignment w:val="baseline"/>
        <w:rPr>
          <w:b/>
          <w:bCs/>
          <w:color w:val="000000"/>
        </w:rPr>
      </w:pPr>
      <w:r>
        <w:rPr>
          <w:color w:val="000000"/>
        </w:rPr>
        <w:t>Trial counsel’s unauthorized concession of Father’s unfitness</w:t>
      </w:r>
      <w:r w:rsidR="00D17087">
        <w:rPr>
          <w:color w:val="000000"/>
        </w:rPr>
        <w:t>—in the circumstances of this case—</w:t>
      </w:r>
      <w:r>
        <w:rPr>
          <w:color w:val="000000"/>
        </w:rPr>
        <w:t xml:space="preserve">likely does not constitute ineffective assistance of counsel. </w:t>
      </w:r>
      <w:r>
        <w:rPr>
          <w:color w:val="000000"/>
          <w:u w:val="single"/>
        </w:rPr>
        <w:t>See</w:t>
      </w:r>
      <w:r>
        <w:rPr>
          <w:color w:val="000000"/>
        </w:rPr>
        <w:t xml:space="preserve"> </w:t>
      </w:r>
      <w:r>
        <w:rPr>
          <w:color w:val="000000"/>
          <w:u w:val="single"/>
        </w:rPr>
        <w:t>Unity</w:t>
      </w:r>
      <w:r>
        <w:rPr>
          <w:color w:val="000000"/>
        </w:rPr>
        <w:t>,</w:t>
      </w:r>
      <w:r w:rsidRPr="0044089D">
        <w:rPr>
          <w:color w:val="000000"/>
        </w:rPr>
        <w:t xml:space="preserve"> </w:t>
      </w:r>
      <w:r>
        <w:rPr>
          <w:color w:val="000000"/>
        </w:rPr>
        <w:t xml:space="preserve">2011 Mass. App. Unpub. LEXIS at *6. </w:t>
      </w:r>
      <w:r w:rsidR="00D17087">
        <w:rPr>
          <w:color w:val="000000"/>
        </w:rPr>
        <w:t>Even</w:t>
      </w:r>
      <w:r>
        <w:rPr>
          <w:color w:val="000000"/>
        </w:rPr>
        <w:t xml:space="preserve"> if trial counsel’s conduct </w:t>
      </w:r>
      <w:r w:rsidR="00D17087">
        <w:rPr>
          <w:color w:val="000000"/>
        </w:rPr>
        <w:t>fell</w:t>
      </w:r>
      <w:r>
        <w:rPr>
          <w:color w:val="000000"/>
        </w:rPr>
        <w:t xml:space="preserve"> below that expected of an ordinarily fallible lawyer, there was no prejudice </w:t>
      </w:r>
      <w:r w:rsidR="00171A27">
        <w:rPr>
          <w:color w:val="000000"/>
        </w:rPr>
        <w:t>to</w:t>
      </w:r>
      <w:r>
        <w:rPr>
          <w:color w:val="000000"/>
        </w:rPr>
        <w:t xml:space="preserve"> Father because the evidence of his unfitness was overwhelming. </w:t>
      </w:r>
      <w:r w:rsidRPr="00456D47">
        <w:rPr>
          <w:color w:val="000000"/>
          <w:u w:val="single"/>
        </w:rPr>
        <w:t>See</w:t>
      </w:r>
      <w:r>
        <w:rPr>
          <w:color w:val="000000"/>
        </w:rPr>
        <w:t xml:space="preserve"> </w:t>
      </w:r>
      <w:r>
        <w:rPr>
          <w:color w:val="000000"/>
          <w:u w:val="single"/>
        </w:rPr>
        <w:t>Azziza</w:t>
      </w:r>
      <w:r>
        <w:rPr>
          <w:color w:val="000000"/>
        </w:rPr>
        <w:t>, 77 Mass. App. Ct. at 368.</w:t>
      </w:r>
    </w:p>
    <w:p w:rsidR="00BA0A0A" w:rsidRPr="00F24161" w:rsidRDefault="00D17087" w:rsidP="00F24161">
      <w:pPr>
        <w:pStyle w:val="NormalWeb"/>
        <w:spacing w:before="0" w:beforeAutospacing="0" w:after="200" w:afterAutospacing="0" w:line="480" w:lineRule="auto"/>
        <w:ind w:firstLine="720"/>
        <w:textAlignment w:val="baseline"/>
        <w:rPr>
          <w:color w:val="000000"/>
        </w:rPr>
      </w:pPr>
      <w:r>
        <w:rPr>
          <w:color w:val="000000"/>
        </w:rPr>
        <w:t>However</w:t>
      </w:r>
      <w:r w:rsidR="00EB2B60">
        <w:rPr>
          <w:color w:val="000000"/>
        </w:rPr>
        <w:t>, t</w:t>
      </w:r>
      <w:r w:rsidR="005A7217">
        <w:rPr>
          <w:color w:val="000000"/>
        </w:rPr>
        <w:t xml:space="preserve">rial counsel’s </w:t>
      </w:r>
      <w:r>
        <w:rPr>
          <w:color w:val="000000"/>
        </w:rPr>
        <w:t xml:space="preserve">unauthorized </w:t>
      </w:r>
      <w:r w:rsidR="005A7217">
        <w:rPr>
          <w:color w:val="000000"/>
        </w:rPr>
        <w:t xml:space="preserve">concession of </w:t>
      </w:r>
      <w:r>
        <w:rPr>
          <w:color w:val="000000"/>
        </w:rPr>
        <w:t>Father’s</w:t>
      </w:r>
      <w:r w:rsidR="005A7217">
        <w:rPr>
          <w:color w:val="000000"/>
        </w:rPr>
        <w:t xml:space="preserve"> unfitness likely constitutes </w:t>
      </w:r>
      <w:r>
        <w:rPr>
          <w:color w:val="000000"/>
        </w:rPr>
        <w:t>the constructive denial of his</w:t>
      </w:r>
      <w:r w:rsidR="005A7217">
        <w:rPr>
          <w:color w:val="000000"/>
        </w:rPr>
        <w:t xml:space="preserve"> right to counsel.</w:t>
      </w:r>
      <w:r w:rsidR="00DC4D3D">
        <w:rPr>
          <w:color w:val="000000"/>
        </w:rPr>
        <w:t xml:space="preserve"> </w:t>
      </w:r>
      <w:r w:rsidR="00DC4D3D">
        <w:rPr>
          <w:color w:val="000000"/>
          <w:u w:val="single"/>
        </w:rPr>
        <w:t>McCoy</w:t>
      </w:r>
      <w:r w:rsidR="00DC4D3D">
        <w:rPr>
          <w:color w:val="000000"/>
        </w:rPr>
        <w:t>, 200 L. Ed. 2d at 827.</w:t>
      </w:r>
      <w:r w:rsidR="00DC4D3D" w:rsidRPr="00DC4D3D">
        <w:rPr>
          <w:color w:val="000000"/>
        </w:rPr>
        <w:t xml:space="preserve"> </w:t>
      </w:r>
      <w:r w:rsidR="00DC4D3D">
        <w:rPr>
          <w:color w:val="000000"/>
        </w:rPr>
        <w:t xml:space="preserve">Although </w:t>
      </w:r>
      <w:r w:rsidR="00DC4D3D" w:rsidRPr="00EE3F9E">
        <w:rPr>
          <w:color w:val="000000"/>
          <w:u w:val="single"/>
        </w:rPr>
        <w:t>McCoy</w:t>
      </w:r>
      <w:r w:rsidR="00DC4D3D">
        <w:rPr>
          <w:color w:val="000000"/>
        </w:rPr>
        <w:t xml:space="preserve"> is </w:t>
      </w:r>
      <w:r>
        <w:rPr>
          <w:color w:val="000000"/>
        </w:rPr>
        <w:t>a Sixth Amendment constructi</w:t>
      </w:r>
      <w:r w:rsidR="00171A27">
        <w:rPr>
          <w:color w:val="000000"/>
        </w:rPr>
        <w:t xml:space="preserve">ve </w:t>
      </w:r>
      <w:r>
        <w:rPr>
          <w:color w:val="000000"/>
        </w:rPr>
        <w:t xml:space="preserve">denial case which is </w:t>
      </w:r>
      <w:r w:rsidR="00DC4D3D">
        <w:rPr>
          <w:color w:val="000000"/>
        </w:rPr>
        <w:t xml:space="preserve">not controlling in the child welfare context, </w:t>
      </w:r>
      <w:r>
        <w:rPr>
          <w:color w:val="000000"/>
        </w:rPr>
        <w:t xml:space="preserve">cases cited in </w:t>
      </w:r>
      <w:r w:rsidRPr="00D17087">
        <w:rPr>
          <w:color w:val="000000"/>
          <w:u w:val="single"/>
        </w:rPr>
        <w:t>McCoy</w:t>
      </w:r>
      <w:r>
        <w:rPr>
          <w:color w:val="000000"/>
        </w:rPr>
        <w:t xml:space="preserve"> hold that the unauthorized concession of guilt also offends due process.</w:t>
      </w:r>
      <w:r w:rsidR="00DC4D3D">
        <w:rPr>
          <w:color w:val="000000"/>
        </w:rPr>
        <w:t xml:space="preserve"> </w:t>
      </w:r>
      <w:r w:rsidR="00DC4D3D" w:rsidRPr="00452A52">
        <w:rPr>
          <w:color w:val="000000"/>
          <w:u w:val="single"/>
        </w:rPr>
        <w:t>See</w:t>
      </w:r>
      <w:r w:rsidR="00DC4D3D">
        <w:rPr>
          <w:color w:val="000000"/>
        </w:rPr>
        <w:t xml:space="preserve"> </w:t>
      </w:r>
      <w:r w:rsidR="00363F48">
        <w:rPr>
          <w:color w:val="000000"/>
          <w:u w:val="single"/>
        </w:rPr>
        <w:t>Cooke</w:t>
      </w:r>
      <w:r w:rsidR="00DC4D3D">
        <w:rPr>
          <w:color w:val="000000"/>
        </w:rPr>
        <w:t xml:space="preserve">, </w:t>
      </w:r>
      <w:r w:rsidR="00DC4D3D">
        <w:t xml:space="preserve">977 A.2d at 808; </w:t>
      </w:r>
      <w:r w:rsidR="00DC4D3D">
        <w:rPr>
          <w:color w:val="000000"/>
          <w:u w:val="single"/>
        </w:rPr>
        <w:t>Carter</w:t>
      </w:r>
      <w:r w:rsidR="00DC4D3D">
        <w:rPr>
          <w:color w:val="000000"/>
        </w:rPr>
        <w:t>,</w:t>
      </w:r>
      <w:r w:rsidR="00DC4D3D" w:rsidRPr="00DC4D3D">
        <w:rPr>
          <w:color w:val="000000"/>
        </w:rPr>
        <w:t xml:space="preserve"> </w:t>
      </w:r>
      <w:r w:rsidR="00DC4D3D">
        <w:rPr>
          <w:color w:val="000000"/>
        </w:rPr>
        <w:t>270 Kan. at 440.</w:t>
      </w:r>
      <w:r w:rsidR="00DC4D3D">
        <w:t xml:space="preserve"> </w:t>
      </w:r>
      <w:r w:rsidR="00DC4D3D">
        <w:rPr>
          <w:color w:val="000000"/>
        </w:rPr>
        <w:t xml:space="preserve">Additionally, </w:t>
      </w:r>
      <w:r>
        <w:rPr>
          <w:color w:val="000000"/>
        </w:rPr>
        <w:t>Massachusetts decisions pre-</w:t>
      </w:r>
      <w:r>
        <w:rPr>
          <w:color w:val="000000"/>
          <w:u w:val="single"/>
        </w:rPr>
        <w:t>McCoy</w:t>
      </w:r>
      <w:r w:rsidR="00DC4D3D">
        <w:rPr>
          <w:color w:val="000000"/>
        </w:rPr>
        <w:t xml:space="preserve"> suggest that the Massachusetts appellate courts may be open to a broader interpretation of the decision.</w:t>
      </w:r>
      <w:r w:rsidR="00363F48">
        <w:rPr>
          <w:color w:val="000000"/>
        </w:rPr>
        <w:t xml:space="preserve"> </w:t>
      </w:r>
      <w:r w:rsidR="00363F48">
        <w:rPr>
          <w:color w:val="000000"/>
          <w:u w:val="single"/>
        </w:rPr>
        <w:t>See</w:t>
      </w:r>
      <w:r w:rsidR="00DC4D3D">
        <w:rPr>
          <w:color w:val="000000"/>
        </w:rPr>
        <w:t xml:space="preserve"> </w:t>
      </w:r>
      <w:r w:rsidR="00DC4D3D">
        <w:rPr>
          <w:color w:val="000000"/>
          <w:u w:val="single"/>
        </w:rPr>
        <w:t>Triplett</w:t>
      </w:r>
      <w:r w:rsidR="00DC4D3D">
        <w:rPr>
          <w:color w:val="000000"/>
        </w:rPr>
        <w:t xml:space="preserve">, 398 Mass. at 568-9; </w:t>
      </w:r>
      <w:r w:rsidR="00DC4D3D">
        <w:rPr>
          <w:color w:val="000000"/>
          <w:u w:val="single"/>
        </w:rPr>
        <w:t>Westmoreland</w:t>
      </w:r>
      <w:r w:rsidR="00DC4D3D">
        <w:rPr>
          <w:color w:val="000000"/>
        </w:rPr>
        <w:t>, 388 Mass. at 586. Parental fitness is the critical inquiry in child custody proceedings.</w:t>
      </w:r>
      <w:r w:rsidR="00363F48">
        <w:rPr>
          <w:color w:val="000000"/>
        </w:rPr>
        <w:t xml:space="preserve"> </w:t>
      </w:r>
      <w:r w:rsidR="00363F48">
        <w:rPr>
          <w:color w:val="000000"/>
          <w:u w:val="single"/>
        </w:rPr>
        <w:t>See</w:t>
      </w:r>
      <w:r w:rsidR="00363F48">
        <w:rPr>
          <w:color w:val="000000"/>
        </w:rPr>
        <w:t xml:space="preserve"> </w:t>
      </w:r>
      <w:r w:rsidR="00DC4D3D">
        <w:rPr>
          <w:color w:val="000000"/>
          <w:u w:val="single"/>
        </w:rPr>
        <w:t>Gillian</w:t>
      </w:r>
      <w:r w:rsidR="00174CF6">
        <w:rPr>
          <w:color w:val="000000"/>
        </w:rPr>
        <w:t>, 63 Mass. App. Ct. at 404</w:t>
      </w:r>
      <w:r w:rsidR="00DC4D3D">
        <w:rPr>
          <w:color w:val="000000"/>
        </w:rPr>
        <w:t>.</w:t>
      </w:r>
      <w:r w:rsidR="00DC4D3D" w:rsidRPr="007A3C3D">
        <w:rPr>
          <w:color w:val="000000"/>
        </w:rPr>
        <w:t xml:space="preserve"> </w:t>
      </w:r>
      <w:r w:rsidR="00DC4D3D">
        <w:rPr>
          <w:color w:val="000000"/>
        </w:rPr>
        <w:t>By conceding unfitness</w:t>
      </w:r>
      <w:r w:rsidR="00171A27">
        <w:rPr>
          <w:color w:val="000000"/>
        </w:rPr>
        <w:t xml:space="preserve"> against Father’s express wishes</w:t>
      </w:r>
      <w:r w:rsidR="00DC4D3D">
        <w:rPr>
          <w:color w:val="000000"/>
        </w:rPr>
        <w:t>,</w:t>
      </w:r>
      <w:r>
        <w:rPr>
          <w:color w:val="000000"/>
        </w:rPr>
        <w:t xml:space="preserve"> trial counsel conceded the most important</w:t>
      </w:r>
      <w:r w:rsidR="00DC4D3D">
        <w:rPr>
          <w:color w:val="000000"/>
        </w:rPr>
        <w:t xml:space="preserve"> </w:t>
      </w:r>
      <w:r>
        <w:rPr>
          <w:color w:val="000000"/>
        </w:rPr>
        <w:t>matter</w:t>
      </w:r>
      <w:r w:rsidR="00DC4D3D">
        <w:rPr>
          <w:color w:val="000000"/>
        </w:rPr>
        <w:t xml:space="preserve"> in dispute at trial and therefore failed to provide a meaningful adversarial test to DCF’</w:t>
      </w:r>
      <w:r w:rsidR="00171A27">
        <w:rPr>
          <w:color w:val="000000"/>
        </w:rPr>
        <w:t>s case</w:t>
      </w:r>
      <w:r w:rsidR="00174CF6">
        <w:rPr>
          <w:color w:val="000000"/>
        </w:rPr>
        <w:t xml:space="preserve"> against Father.</w:t>
      </w:r>
      <w:r w:rsidR="00DC4D3D">
        <w:rPr>
          <w:color w:val="000000"/>
        </w:rPr>
        <w:t xml:space="preserve"> </w:t>
      </w:r>
      <w:r w:rsidR="00174CF6">
        <w:rPr>
          <w:color w:val="000000"/>
          <w:u w:val="single"/>
        </w:rPr>
        <w:t>See</w:t>
      </w:r>
      <w:r w:rsidR="00174CF6">
        <w:rPr>
          <w:color w:val="000000"/>
        </w:rPr>
        <w:t xml:space="preserve"> </w:t>
      </w:r>
      <w:r w:rsidR="00174CF6">
        <w:rPr>
          <w:color w:val="000000"/>
          <w:u w:val="single"/>
        </w:rPr>
        <w:t>McCoy</w:t>
      </w:r>
      <w:r w:rsidR="00174CF6">
        <w:rPr>
          <w:color w:val="000000"/>
        </w:rPr>
        <w:t xml:space="preserve">, 200 L. Ed. 2d at 829. </w:t>
      </w:r>
      <w:r w:rsidR="00DC4D3D">
        <w:rPr>
          <w:color w:val="000000"/>
        </w:rPr>
        <w:t xml:space="preserve">Thus, trial counsel’s unauthorized concession of unfitness </w:t>
      </w:r>
      <w:r w:rsidR="002564FD">
        <w:rPr>
          <w:color w:val="000000"/>
        </w:rPr>
        <w:t xml:space="preserve">likely </w:t>
      </w:r>
      <w:r w:rsidR="00DC4D3D">
        <w:rPr>
          <w:color w:val="000000"/>
        </w:rPr>
        <w:t>constitutes constructive denial of counsel.</w:t>
      </w:r>
      <w:r w:rsidR="00174CF6">
        <w:rPr>
          <w:color w:val="000000"/>
        </w:rPr>
        <w:t xml:space="preserve"> </w:t>
      </w:r>
      <w:r w:rsidR="00174CF6">
        <w:rPr>
          <w:color w:val="000000"/>
          <w:u w:val="single"/>
        </w:rPr>
        <w:t>Id.</w:t>
      </w:r>
    </w:p>
    <w:sectPr w:rsidR="00BA0A0A" w:rsidRPr="00F24161" w:rsidSect="007E3E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22" w:rsidRDefault="00DB0122" w:rsidP="00B46A12">
      <w:pPr>
        <w:spacing w:after="0" w:line="240" w:lineRule="auto"/>
      </w:pPr>
      <w:r>
        <w:separator/>
      </w:r>
    </w:p>
  </w:endnote>
  <w:endnote w:type="continuationSeparator" w:id="0">
    <w:p w:rsidR="00DB0122" w:rsidRDefault="00DB0122" w:rsidP="00B4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67994"/>
      <w:docPartObj>
        <w:docPartGallery w:val="Page Numbers (Bottom of Page)"/>
        <w:docPartUnique/>
      </w:docPartObj>
    </w:sdtPr>
    <w:sdtEndPr>
      <w:rPr>
        <w:rFonts w:ascii="Times New Roman" w:hAnsi="Times New Roman" w:cs="Times New Roman"/>
        <w:noProof/>
      </w:rPr>
    </w:sdtEndPr>
    <w:sdtContent>
      <w:p w:rsidR="00755BF0" w:rsidRPr="00B3362D" w:rsidRDefault="00704F9F">
        <w:pPr>
          <w:pStyle w:val="Footer"/>
          <w:jc w:val="center"/>
          <w:rPr>
            <w:rFonts w:ascii="Times New Roman" w:hAnsi="Times New Roman" w:cs="Times New Roman"/>
          </w:rPr>
        </w:pPr>
        <w:r w:rsidRPr="00B3362D">
          <w:rPr>
            <w:rFonts w:ascii="Times New Roman" w:hAnsi="Times New Roman" w:cs="Times New Roman"/>
          </w:rPr>
          <w:fldChar w:fldCharType="begin"/>
        </w:r>
        <w:r w:rsidRPr="00B3362D">
          <w:rPr>
            <w:rFonts w:ascii="Times New Roman" w:hAnsi="Times New Roman" w:cs="Times New Roman"/>
          </w:rPr>
          <w:instrText xml:space="preserve"> PAGE   \* MERGEFORMAT </w:instrText>
        </w:r>
        <w:r w:rsidRPr="00B3362D">
          <w:rPr>
            <w:rFonts w:ascii="Times New Roman" w:hAnsi="Times New Roman" w:cs="Times New Roman"/>
          </w:rPr>
          <w:fldChar w:fldCharType="separate"/>
        </w:r>
        <w:r w:rsidR="00933953">
          <w:rPr>
            <w:rFonts w:ascii="Times New Roman" w:hAnsi="Times New Roman" w:cs="Times New Roman"/>
            <w:noProof/>
          </w:rPr>
          <w:t>1</w:t>
        </w:r>
        <w:r w:rsidRPr="00B3362D">
          <w:rPr>
            <w:rFonts w:ascii="Times New Roman" w:hAnsi="Times New Roman" w:cs="Times New Roman"/>
            <w:noProof/>
          </w:rPr>
          <w:fldChar w:fldCharType="end"/>
        </w:r>
      </w:p>
    </w:sdtContent>
  </w:sdt>
  <w:p w:rsidR="00755BF0" w:rsidRDefault="00755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22" w:rsidRDefault="00DB0122" w:rsidP="00B46A12">
      <w:pPr>
        <w:spacing w:after="0" w:line="240" w:lineRule="auto"/>
      </w:pPr>
      <w:r>
        <w:separator/>
      </w:r>
    </w:p>
  </w:footnote>
  <w:footnote w:type="continuationSeparator" w:id="0">
    <w:p w:rsidR="00DB0122" w:rsidRDefault="00DB0122" w:rsidP="00B46A12">
      <w:pPr>
        <w:spacing w:after="0" w:line="240" w:lineRule="auto"/>
      </w:pPr>
      <w:r>
        <w:continuationSeparator/>
      </w:r>
    </w:p>
  </w:footnote>
  <w:footnote w:id="1">
    <w:p w:rsidR="00755BF0" w:rsidRPr="006C6F4F" w:rsidRDefault="00755BF0" w:rsidP="006C6F4F">
      <w:pPr>
        <w:pStyle w:val="FootnoteText"/>
        <w:ind w:firstLine="720"/>
        <w:rPr>
          <w:rFonts w:ascii="Times New Roman" w:hAnsi="Times New Roman" w:cs="Times New Roman"/>
          <w:sz w:val="24"/>
          <w:szCs w:val="24"/>
        </w:rPr>
      </w:pPr>
      <w:r w:rsidRPr="006C6F4F">
        <w:rPr>
          <w:rStyle w:val="FootnoteReference"/>
          <w:rFonts w:ascii="Times New Roman" w:hAnsi="Times New Roman" w:cs="Times New Roman"/>
          <w:sz w:val="24"/>
          <w:szCs w:val="24"/>
        </w:rPr>
        <w:footnoteRef/>
      </w:r>
      <w:r w:rsidRPr="006C6F4F">
        <w:rPr>
          <w:rFonts w:ascii="Times New Roman" w:hAnsi="Times New Roman" w:cs="Times New Roman"/>
          <w:sz w:val="24"/>
          <w:szCs w:val="24"/>
        </w:rPr>
        <w:t xml:space="preserve"> </w:t>
      </w:r>
      <w:r w:rsidRPr="006C6F4F">
        <w:rPr>
          <w:rFonts w:ascii="Times New Roman" w:hAnsi="Times New Roman" w:cs="Times New Roman"/>
          <w:color w:val="000000"/>
          <w:sz w:val="24"/>
          <w:szCs w:val="24"/>
        </w:rPr>
        <w:t xml:space="preserve">Almost every jurisdiction guarantees a parent’s right to counsel when the state seeks to terminate parental rights. </w:t>
      </w:r>
      <w:r w:rsidRPr="006C6F4F">
        <w:rPr>
          <w:rFonts w:ascii="Times New Roman" w:hAnsi="Times New Roman" w:cs="Times New Roman"/>
          <w:color w:val="000000"/>
          <w:sz w:val="24"/>
          <w:szCs w:val="24"/>
          <w:u w:val="single"/>
        </w:rPr>
        <w:t>See</w:t>
      </w:r>
      <w:r w:rsidRPr="006C6F4F">
        <w:rPr>
          <w:rFonts w:ascii="Times New Roman" w:hAnsi="Times New Roman" w:cs="Times New Roman"/>
          <w:color w:val="000000"/>
          <w:sz w:val="24"/>
          <w:szCs w:val="24"/>
        </w:rPr>
        <w:t xml:space="preserve"> Susan Calkins, </w:t>
      </w:r>
      <w:r w:rsidRPr="006C6F4F">
        <w:rPr>
          <w:rFonts w:ascii="Times New Roman" w:hAnsi="Times New Roman" w:cs="Times New Roman"/>
          <w:color w:val="000000"/>
          <w:sz w:val="24"/>
          <w:szCs w:val="24"/>
          <w:u w:val="single"/>
        </w:rPr>
        <w:t>Ineffective Assistance of Counsel in Parental-Rights Termination Cases: The Challenge for Appellate Courts</w:t>
      </w:r>
      <w:r w:rsidRPr="006C6F4F">
        <w:rPr>
          <w:rFonts w:ascii="Times New Roman" w:hAnsi="Times New Roman" w:cs="Times New Roman"/>
          <w:color w:val="000000"/>
          <w:sz w:val="24"/>
          <w:szCs w:val="24"/>
        </w:rPr>
        <w:t>, 6 J. App. Prac. &amp; Process 179, 180 (2004).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4B"/>
    <w:multiLevelType w:val="hybridMultilevel"/>
    <w:tmpl w:val="81FC3DE2"/>
    <w:lvl w:ilvl="0" w:tplc="5DC01798">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56BA"/>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36D7"/>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60BD7"/>
    <w:multiLevelType w:val="hybridMultilevel"/>
    <w:tmpl w:val="FB7ECAFC"/>
    <w:lvl w:ilvl="0" w:tplc="B748D8E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731A8"/>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26783"/>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722CB"/>
    <w:multiLevelType w:val="hybridMultilevel"/>
    <w:tmpl w:val="FA24DE0E"/>
    <w:lvl w:ilvl="0" w:tplc="5EE277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A0A38"/>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81D92"/>
    <w:multiLevelType w:val="hybridMultilevel"/>
    <w:tmpl w:val="6AEA1A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81E7D"/>
    <w:multiLevelType w:val="hybridMultilevel"/>
    <w:tmpl w:val="0AAA5CB6"/>
    <w:lvl w:ilvl="0" w:tplc="4CC69672">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3435A"/>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A216A"/>
    <w:multiLevelType w:val="multilevel"/>
    <w:tmpl w:val="15303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9336A"/>
    <w:multiLevelType w:val="hybridMultilevel"/>
    <w:tmpl w:val="A51C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B571C"/>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C3846"/>
    <w:multiLevelType w:val="hybridMultilevel"/>
    <w:tmpl w:val="44AE3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A265AD"/>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8771F"/>
    <w:multiLevelType w:val="multilevel"/>
    <w:tmpl w:val="FA24DE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2312B1"/>
    <w:multiLevelType w:val="hybridMultilevel"/>
    <w:tmpl w:val="90A241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C431B"/>
    <w:multiLevelType w:val="hybridMultilevel"/>
    <w:tmpl w:val="5ABC41B8"/>
    <w:lvl w:ilvl="0" w:tplc="85A6AC82">
      <w:start w:val="2"/>
      <w:numFmt w:val="decimal"/>
      <w:lvlText w:val="%1."/>
      <w:lvlJc w:val="left"/>
      <w:pPr>
        <w:tabs>
          <w:tab w:val="num" w:pos="720"/>
        </w:tabs>
        <w:ind w:left="720" w:hanging="360"/>
      </w:pPr>
    </w:lvl>
    <w:lvl w:ilvl="1" w:tplc="8148071E">
      <w:start w:val="2"/>
      <w:numFmt w:val="lowerLetter"/>
      <w:lvlText w:val="%2."/>
      <w:lvlJc w:val="left"/>
      <w:pPr>
        <w:tabs>
          <w:tab w:val="num" w:pos="1440"/>
        </w:tabs>
        <w:ind w:left="1440" w:hanging="360"/>
      </w:pPr>
    </w:lvl>
    <w:lvl w:ilvl="2" w:tplc="8CC024D4" w:tentative="1">
      <w:start w:val="1"/>
      <w:numFmt w:val="decimal"/>
      <w:lvlText w:val="%3."/>
      <w:lvlJc w:val="left"/>
      <w:pPr>
        <w:tabs>
          <w:tab w:val="num" w:pos="2160"/>
        </w:tabs>
        <w:ind w:left="2160" w:hanging="360"/>
      </w:pPr>
    </w:lvl>
    <w:lvl w:ilvl="3" w:tplc="284C4D04" w:tentative="1">
      <w:start w:val="1"/>
      <w:numFmt w:val="decimal"/>
      <w:lvlText w:val="%4."/>
      <w:lvlJc w:val="left"/>
      <w:pPr>
        <w:tabs>
          <w:tab w:val="num" w:pos="2880"/>
        </w:tabs>
        <w:ind w:left="2880" w:hanging="360"/>
      </w:pPr>
    </w:lvl>
    <w:lvl w:ilvl="4" w:tplc="1F4C2716" w:tentative="1">
      <w:start w:val="1"/>
      <w:numFmt w:val="decimal"/>
      <w:lvlText w:val="%5."/>
      <w:lvlJc w:val="left"/>
      <w:pPr>
        <w:tabs>
          <w:tab w:val="num" w:pos="3600"/>
        </w:tabs>
        <w:ind w:left="3600" w:hanging="360"/>
      </w:pPr>
    </w:lvl>
    <w:lvl w:ilvl="5" w:tplc="C714BDF4" w:tentative="1">
      <w:start w:val="1"/>
      <w:numFmt w:val="decimal"/>
      <w:lvlText w:val="%6."/>
      <w:lvlJc w:val="left"/>
      <w:pPr>
        <w:tabs>
          <w:tab w:val="num" w:pos="4320"/>
        </w:tabs>
        <w:ind w:left="4320" w:hanging="360"/>
      </w:pPr>
    </w:lvl>
    <w:lvl w:ilvl="6" w:tplc="DE5CFA28" w:tentative="1">
      <w:start w:val="1"/>
      <w:numFmt w:val="decimal"/>
      <w:lvlText w:val="%7."/>
      <w:lvlJc w:val="left"/>
      <w:pPr>
        <w:tabs>
          <w:tab w:val="num" w:pos="5040"/>
        </w:tabs>
        <w:ind w:left="5040" w:hanging="360"/>
      </w:pPr>
    </w:lvl>
    <w:lvl w:ilvl="7" w:tplc="9D789B90" w:tentative="1">
      <w:start w:val="1"/>
      <w:numFmt w:val="decimal"/>
      <w:lvlText w:val="%8."/>
      <w:lvlJc w:val="left"/>
      <w:pPr>
        <w:tabs>
          <w:tab w:val="num" w:pos="5760"/>
        </w:tabs>
        <w:ind w:left="5760" w:hanging="360"/>
      </w:pPr>
    </w:lvl>
    <w:lvl w:ilvl="8" w:tplc="5DE0ED0E" w:tentative="1">
      <w:start w:val="1"/>
      <w:numFmt w:val="decimal"/>
      <w:lvlText w:val="%9."/>
      <w:lvlJc w:val="left"/>
      <w:pPr>
        <w:tabs>
          <w:tab w:val="num" w:pos="6480"/>
        </w:tabs>
        <w:ind w:left="6480" w:hanging="360"/>
      </w:pPr>
    </w:lvl>
  </w:abstractNum>
  <w:abstractNum w:abstractNumId="19" w15:restartNumberingAfterBreak="0">
    <w:nsid w:val="6312078C"/>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C758C"/>
    <w:multiLevelType w:val="hybridMultilevel"/>
    <w:tmpl w:val="AFF0002C"/>
    <w:lvl w:ilvl="0" w:tplc="FC04B128">
      <w:start w:val="3"/>
      <w:numFmt w:val="upperRoman"/>
      <w:lvlText w:val="%1."/>
      <w:lvlJc w:val="right"/>
      <w:pPr>
        <w:tabs>
          <w:tab w:val="num" w:pos="720"/>
        </w:tabs>
        <w:ind w:left="720" w:hanging="360"/>
      </w:pPr>
    </w:lvl>
    <w:lvl w:ilvl="1" w:tplc="DC961A62" w:tentative="1">
      <w:start w:val="1"/>
      <w:numFmt w:val="decimal"/>
      <w:lvlText w:val="%2."/>
      <w:lvlJc w:val="left"/>
      <w:pPr>
        <w:tabs>
          <w:tab w:val="num" w:pos="1440"/>
        </w:tabs>
        <w:ind w:left="1440" w:hanging="360"/>
      </w:pPr>
    </w:lvl>
    <w:lvl w:ilvl="2" w:tplc="6A8C0488" w:tentative="1">
      <w:start w:val="1"/>
      <w:numFmt w:val="decimal"/>
      <w:lvlText w:val="%3."/>
      <w:lvlJc w:val="left"/>
      <w:pPr>
        <w:tabs>
          <w:tab w:val="num" w:pos="2160"/>
        </w:tabs>
        <w:ind w:left="2160" w:hanging="360"/>
      </w:pPr>
    </w:lvl>
    <w:lvl w:ilvl="3" w:tplc="52A28214" w:tentative="1">
      <w:start w:val="1"/>
      <w:numFmt w:val="decimal"/>
      <w:lvlText w:val="%4."/>
      <w:lvlJc w:val="left"/>
      <w:pPr>
        <w:tabs>
          <w:tab w:val="num" w:pos="2880"/>
        </w:tabs>
        <w:ind w:left="2880" w:hanging="360"/>
      </w:pPr>
    </w:lvl>
    <w:lvl w:ilvl="4" w:tplc="AE604802" w:tentative="1">
      <w:start w:val="1"/>
      <w:numFmt w:val="decimal"/>
      <w:lvlText w:val="%5."/>
      <w:lvlJc w:val="left"/>
      <w:pPr>
        <w:tabs>
          <w:tab w:val="num" w:pos="3600"/>
        </w:tabs>
        <w:ind w:left="3600" w:hanging="360"/>
      </w:pPr>
    </w:lvl>
    <w:lvl w:ilvl="5" w:tplc="0036534A" w:tentative="1">
      <w:start w:val="1"/>
      <w:numFmt w:val="decimal"/>
      <w:lvlText w:val="%6."/>
      <w:lvlJc w:val="left"/>
      <w:pPr>
        <w:tabs>
          <w:tab w:val="num" w:pos="4320"/>
        </w:tabs>
        <w:ind w:left="4320" w:hanging="360"/>
      </w:pPr>
    </w:lvl>
    <w:lvl w:ilvl="6" w:tplc="D0C81644" w:tentative="1">
      <w:start w:val="1"/>
      <w:numFmt w:val="decimal"/>
      <w:lvlText w:val="%7."/>
      <w:lvlJc w:val="left"/>
      <w:pPr>
        <w:tabs>
          <w:tab w:val="num" w:pos="5040"/>
        </w:tabs>
        <w:ind w:left="5040" w:hanging="360"/>
      </w:pPr>
    </w:lvl>
    <w:lvl w:ilvl="7" w:tplc="7462743E" w:tentative="1">
      <w:start w:val="1"/>
      <w:numFmt w:val="decimal"/>
      <w:lvlText w:val="%8."/>
      <w:lvlJc w:val="left"/>
      <w:pPr>
        <w:tabs>
          <w:tab w:val="num" w:pos="5760"/>
        </w:tabs>
        <w:ind w:left="5760" w:hanging="360"/>
      </w:pPr>
    </w:lvl>
    <w:lvl w:ilvl="8" w:tplc="012EBB84" w:tentative="1">
      <w:start w:val="1"/>
      <w:numFmt w:val="decimal"/>
      <w:lvlText w:val="%9."/>
      <w:lvlJc w:val="left"/>
      <w:pPr>
        <w:tabs>
          <w:tab w:val="num" w:pos="6480"/>
        </w:tabs>
        <w:ind w:left="6480" w:hanging="360"/>
      </w:pPr>
    </w:lvl>
  </w:abstractNum>
  <w:abstractNum w:abstractNumId="21" w15:restartNumberingAfterBreak="0">
    <w:nsid w:val="6B2F3313"/>
    <w:multiLevelType w:val="hybridMultilevel"/>
    <w:tmpl w:val="60F888CE"/>
    <w:lvl w:ilvl="0" w:tplc="B1D6000A">
      <w:start w:val="4"/>
      <w:numFmt w:val="upperRoman"/>
      <w:lvlText w:val="%1."/>
      <w:lvlJc w:val="right"/>
      <w:pPr>
        <w:tabs>
          <w:tab w:val="num" w:pos="720"/>
        </w:tabs>
        <w:ind w:left="720" w:hanging="360"/>
      </w:pPr>
    </w:lvl>
    <w:lvl w:ilvl="1" w:tplc="01767408" w:tentative="1">
      <w:start w:val="1"/>
      <w:numFmt w:val="decimal"/>
      <w:lvlText w:val="%2."/>
      <w:lvlJc w:val="left"/>
      <w:pPr>
        <w:tabs>
          <w:tab w:val="num" w:pos="1440"/>
        </w:tabs>
        <w:ind w:left="1440" w:hanging="360"/>
      </w:pPr>
    </w:lvl>
    <w:lvl w:ilvl="2" w:tplc="BFF23A66" w:tentative="1">
      <w:start w:val="1"/>
      <w:numFmt w:val="decimal"/>
      <w:lvlText w:val="%3."/>
      <w:lvlJc w:val="left"/>
      <w:pPr>
        <w:tabs>
          <w:tab w:val="num" w:pos="2160"/>
        </w:tabs>
        <w:ind w:left="2160" w:hanging="360"/>
      </w:pPr>
    </w:lvl>
    <w:lvl w:ilvl="3" w:tplc="DB7E230A" w:tentative="1">
      <w:start w:val="1"/>
      <w:numFmt w:val="decimal"/>
      <w:lvlText w:val="%4."/>
      <w:lvlJc w:val="left"/>
      <w:pPr>
        <w:tabs>
          <w:tab w:val="num" w:pos="2880"/>
        </w:tabs>
        <w:ind w:left="2880" w:hanging="360"/>
      </w:pPr>
    </w:lvl>
    <w:lvl w:ilvl="4" w:tplc="C10EF056" w:tentative="1">
      <w:start w:val="1"/>
      <w:numFmt w:val="decimal"/>
      <w:lvlText w:val="%5."/>
      <w:lvlJc w:val="left"/>
      <w:pPr>
        <w:tabs>
          <w:tab w:val="num" w:pos="3600"/>
        </w:tabs>
        <w:ind w:left="3600" w:hanging="360"/>
      </w:pPr>
    </w:lvl>
    <w:lvl w:ilvl="5" w:tplc="CD7ECE92" w:tentative="1">
      <w:start w:val="1"/>
      <w:numFmt w:val="decimal"/>
      <w:lvlText w:val="%6."/>
      <w:lvlJc w:val="left"/>
      <w:pPr>
        <w:tabs>
          <w:tab w:val="num" w:pos="4320"/>
        </w:tabs>
        <w:ind w:left="4320" w:hanging="360"/>
      </w:pPr>
    </w:lvl>
    <w:lvl w:ilvl="6" w:tplc="6152FB5A" w:tentative="1">
      <w:start w:val="1"/>
      <w:numFmt w:val="decimal"/>
      <w:lvlText w:val="%7."/>
      <w:lvlJc w:val="left"/>
      <w:pPr>
        <w:tabs>
          <w:tab w:val="num" w:pos="5040"/>
        </w:tabs>
        <w:ind w:left="5040" w:hanging="360"/>
      </w:pPr>
    </w:lvl>
    <w:lvl w:ilvl="7" w:tplc="593023AE" w:tentative="1">
      <w:start w:val="1"/>
      <w:numFmt w:val="decimal"/>
      <w:lvlText w:val="%8."/>
      <w:lvlJc w:val="left"/>
      <w:pPr>
        <w:tabs>
          <w:tab w:val="num" w:pos="5760"/>
        </w:tabs>
        <w:ind w:left="5760" w:hanging="360"/>
      </w:pPr>
    </w:lvl>
    <w:lvl w:ilvl="8" w:tplc="4D94990C" w:tentative="1">
      <w:start w:val="1"/>
      <w:numFmt w:val="decimal"/>
      <w:lvlText w:val="%9."/>
      <w:lvlJc w:val="left"/>
      <w:pPr>
        <w:tabs>
          <w:tab w:val="num" w:pos="6480"/>
        </w:tabs>
        <w:ind w:left="6480" w:hanging="360"/>
      </w:pPr>
    </w:lvl>
  </w:abstractNum>
  <w:abstractNum w:abstractNumId="22" w15:restartNumberingAfterBreak="0">
    <w:nsid w:val="74D8604F"/>
    <w:multiLevelType w:val="hybridMultilevel"/>
    <w:tmpl w:val="AF747A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55554"/>
    <w:multiLevelType w:val="hybridMultilevel"/>
    <w:tmpl w:val="CE0E6546"/>
    <w:lvl w:ilvl="0" w:tplc="04090013">
      <w:start w:val="1"/>
      <w:numFmt w:val="upperRoman"/>
      <w:lvlText w:val="%1."/>
      <w:lvlJc w:val="right"/>
      <w:pPr>
        <w:tabs>
          <w:tab w:val="num" w:pos="720"/>
        </w:tabs>
        <w:ind w:left="720" w:hanging="360"/>
      </w:pPr>
    </w:lvl>
    <w:lvl w:ilvl="1" w:tplc="04090013">
      <w:start w:val="1"/>
      <w:numFmt w:val="upperRoman"/>
      <w:lvlText w:val="%2."/>
      <w:lvlJc w:val="right"/>
      <w:pPr>
        <w:tabs>
          <w:tab w:val="num" w:pos="1440"/>
        </w:tabs>
        <w:ind w:left="1440" w:hanging="360"/>
      </w:pPr>
    </w:lvl>
    <w:lvl w:ilvl="2" w:tplc="B1EE9606">
      <w:start w:val="1"/>
      <w:numFmt w:val="decimal"/>
      <w:lvlText w:val="%3."/>
      <w:lvlJc w:val="left"/>
      <w:pPr>
        <w:tabs>
          <w:tab w:val="num" w:pos="2160"/>
        </w:tabs>
        <w:ind w:left="2160" w:hanging="360"/>
      </w:pPr>
    </w:lvl>
    <w:lvl w:ilvl="3" w:tplc="D1C0456A">
      <w:start w:val="1"/>
      <w:numFmt w:val="decimal"/>
      <w:lvlText w:val="%4."/>
      <w:lvlJc w:val="left"/>
      <w:pPr>
        <w:tabs>
          <w:tab w:val="num" w:pos="2880"/>
        </w:tabs>
        <w:ind w:left="2880" w:hanging="360"/>
      </w:pPr>
    </w:lvl>
    <w:lvl w:ilvl="4" w:tplc="86BA0118">
      <w:start w:val="1"/>
      <w:numFmt w:val="decimal"/>
      <w:lvlText w:val="%5."/>
      <w:lvlJc w:val="left"/>
      <w:pPr>
        <w:tabs>
          <w:tab w:val="num" w:pos="3600"/>
        </w:tabs>
        <w:ind w:left="3600" w:hanging="360"/>
      </w:pPr>
    </w:lvl>
    <w:lvl w:ilvl="5" w:tplc="32F407EC" w:tentative="1">
      <w:start w:val="1"/>
      <w:numFmt w:val="decimal"/>
      <w:lvlText w:val="%6."/>
      <w:lvlJc w:val="left"/>
      <w:pPr>
        <w:tabs>
          <w:tab w:val="num" w:pos="4320"/>
        </w:tabs>
        <w:ind w:left="4320" w:hanging="360"/>
      </w:pPr>
    </w:lvl>
    <w:lvl w:ilvl="6" w:tplc="6C22EB8E" w:tentative="1">
      <w:start w:val="1"/>
      <w:numFmt w:val="decimal"/>
      <w:lvlText w:val="%7."/>
      <w:lvlJc w:val="left"/>
      <w:pPr>
        <w:tabs>
          <w:tab w:val="num" w:pos="5040"/>
        </w:tabs>
        <w:ind w:left="5040" w:hanging="360"/>
      </w:pPr>
    </w:lvl>
    <w:lvl w:ilvl="7" w:tplc="3C12C882" w:tentative="1">
      <w:start w:val="1"/>
      <w:numFmt w:val="decimal"/>
      <w:lvlText w:val="%8."/>
      <w:lvlJc w:val="left"/>
      <w:pPr>
        <w:tabs>
          <w:tab w:val="num" w:pos="5760"/>
        </w:tabs>
        <w:ind w:left="5760" w:hanging="360"/>
      </w:pPr>
    </w:lvl>
    <w:lvl w:ilvl="8" w:tplc="A53A0DD2" w:tentative="1">
      <w:start w:val="1"/>
      <w:numFmt w:val="decimal"/>
      <w:lvlText w:val="%9."/>
      <w:lvlJc w:val="left"/>
      <w:pPr>
        <w:tabs>
          <w:tab w:val="num" w:pos="6480"/>
        </w:tabs>
        <w:ind w:left="6480" w:hanging="360"/>
      </w:pPr>
    </w:lvl>
  </w:abstractNum>
  <w:num w:numId="1">
    <w:abstractNumId w:val="6"/>
  </w:num>
  <w:num w:numId="2">
    <w:abstractNumId w:val="3"/>
  </w:num>
  <w:num w:numId="3">
    <w:abstractNumId w:val="16"/>
  </w:num>
  <w:num w:numId="4">
    <w:abstractNumId w:val="12"/>
  </w:num>
  <w:num w:numId="5">
    <w:abstractNumId w:val="22"/>
  </w:num>
  <w:num w:numId="6">
    <w:abstractNumId w:val="17"/>
  </w:num>
  <w:num w:numId="7">
    <w:abstractNumId w:val="14"/>
  </w:num>
  <w:num w:numId="8">
    <w:abstractNumId w:val="13"/>
    <w:lvlOverride w:ilvl="0">
      <w:lvl w:ilvl="0">
        <w:start w:val="1"/>
        <w:numFmt w:val="upperRoman"/>
        <w:lvlText w:val="%1."/>
        <w:lvlJc w:val="righ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1"/>
    <w:lvlOverride w:ilvl="0">
      <w:lvl w:ilvl="0">
        <w:numFmt w:val="decimal"/>
        <w:lvlText w:val=""/>
        <w:lvlJc w:val="left"/>
      </w:lvl>
    </w:lvlOverride>
    <w:lvlOverride w:ilvl="1">
      <w:lvl w:ilvl="1">
        <w:numFmt w:val="lowerLetter"/>
        <w:lvlText w:val="%2."/>
        <w:lvlJc w:val="left"/>
      </w:lvl>
    </w:lvlOverride>
  </w:num>
  <w:num w:numId="10">
    <w:abstractNumId w:val="18"/>
  </w:num>
  <w:num w:numId="11">
    <w:abstractNumId w:val="23"/>
  </w:num>
  <w:num w:numId="12">
    <w:abstractNumId w:val="20"/>
  </w:num>
  <w:num w:numId="13">
    <w:abstractNumId w:val="21"/>
  </w:num>
  <w:num w:numId="14">
    <w:abstractNumId w:val="9"/>
  </w:num>
  <w:num w:numId="15">
    <w:abstractNumId w:val="0"/>
  </w:num>
  <w:num w:numId="16">
    <w:abstractNumId w:val="8"/>
  </w:num>
  <w:num w:numId="17">
    <w:abstractNumId w:val="7"/>
  </w:num>
  <w:num w:numId="18">
    <w:abstractNumId w:val="15"/>
  </w:num>
  <w:num w:numId="19">
    <w:abstractNumId w:val="5"/>
  </w:num>
  <w:num w:numId="20">
    <w:abstractNumId w:val="19"/>
  </w:num>
  <w:num w:numId="21">
    <w:abstractNumId w:val="10"/>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84"/>
    <w:rsid w:val="00002E3A"/>
    <w:rsid w:val="0000692E"/>
    <w:rsid w:val="0001102C"/>
    <w:rsid w:val="000135A1"/>
    <w:rsid w:val="0001655A"/>
    <w:rsid w:val="00035179"/>
    <w:rsid w:val="00035EE6"/>
    <w:rsid w:val="00041318"/>
    <w:rsid w:val="000507E1"/>
    <w:rsid w:val="000574DE"/>
    <w:rsid w:val="00057F08"/>
    <w:rsid w:val="00061164"/>
    <w:rsid w:val="00064E44"/>
    <w:rsid w:val="00064E98"/>
    <w:rsid w:val="00064F98"/>
    <w:rsid w:val="000715E1"/>
    <w:rsid w:val="00075043"/>
    <w:rsid w:val="000750D4"/>
    <w:rsid w:val="0007678A"/>
    <w:rsid w:val="000834BF"/>
    <w:rsid w:val="000A0B47"/>
    <w:rsid w:val="000A0D51"/>
    <w:rsid w:val="000A1AB5"/>
    <w:rsid w:val="000A4033"/>
    <w:rsid w:val="000A4C29"/>
    <w:rsid w:val="000A76EA"/>
    <w:rsid w:val="000C57B3"/>
    <w:rsid w:val="000D553E"/>
    <w:rsid w:val="000D5542"/>
    <w:rsid w:val="000D5A5E"/>
    <w:rsid w:val="000D7D3C"/>
    <w:rsid w:val="000E0701"/>
    <w:rsid w:val="000E38B9"/>
    <w:rsid w:val="000E54E3"/>
    <w:rsid w:val="000F16B8"/>
    <w:rsid w:val="001009F9"/>
    <w:rsid w:val="00110520"/>
    <w:rsid w:val="001215FF"/>
    <w:rsid w:val="00123356"/>
    <w:rsid w:val="00123DF0"/>
    <w:rsid w:val="00125ABC"/>
    <w:rsid w:val="00127D02"/>
    <w:rsid w:val="00134DFC"/>
    <w:rsid w:val="001520C1"/>
    <w:rsid w:val="001564C4"/>
    <w:rsid w:val="0015794C"/>
    <w:rsid w:val="00162C57"/>
    <w:rsid w:val="00164E94"/>
    <w:rsid w:val="00165DB4"/>
    <w:rsid w:val="00171926"/>
    <w:rsid w:val="00171A27"/>
    <w:rsid w:val="001742F6"/>
    <w:rsid w:val="00174CF6"/>
    <w:rsid w:val="00176E98"/>
    <w:rsid w:val="00184A33"/>
    <w:rsid w:val="00184BC7"/>
    <w:rsid w:val="001850B4"/>
    <w:rsid w:val="00196C4D"/>
    <w:rsid w:val="00197C80"/>
    <w:rsid w:val="001A6BBE"/>
    <w:rsid w:val="001B330A"/>
    <w:rsid w:val="001C3706"/>
    <w:rsid w:val="001D5EC6"/>
    <w:rsid w:val="001F0B9B"/>
    <w:rsid w:val="001F7ACE"/>
    <w:rsid w:val="002021AA"/>
    <w:rsid w:val="00211595"/>
    <w:rsid w:val="002148C8"/>
    <w:rsid w:val="00216BEF"/>
    <w:rsid w:val="0022280F"/>
    <w:rsid w:val="00222A24"/>
    <w:rsid w:val="002243D8"/>
    <w:rsid w:val="002310A6"/>
    <w:rsid w:val="00235886"/>
    <w:rsid w:val="0023652E"/>
    <w:rsid w:val="00236EFA"/>
    <w:rsid w:val="002441B5"/>
    <w:rsid w:val="0025618C"/>
    <w:rsid w:val="002564FD"/>
    <w:rsid w:val="00256F47"/>
    <w:rsid w:val="00262A5C"/>
    <w:rsid w:val="002649ED"/>
    <w:rsid w:val="00267FDF"/>
    <w:rsid w:val="002753CB"/>
    <w:rsid w:val="00281963"/>
    <w:rsid w:val="00284829"/>
    <w:rsid w:val="0028774D"/>
    <w:rsid w:val="00287BAC"/>
    <w:rsid w:val="002917B4"/>
    <w:rsid w:val="0029424E"/>
    <w:rsid w:val="00295BCE"/>
    <w:rsid w:val="002965B7"/>
    <w:rsid w:val="002A177C"/>
    <w:rsid w:val="002A626D"/>
    <w:rsid w:val="002B2AEB"/>
    <w:rsid w:val="002C70FA"/>
    <w:rsid w:val="002D14B6"/>
    <w:rsid w:val="002D725D"/>
    <w:rsid w:val="002F0340"/>
    <w:rsid w:val="002F1651"/>
    <w:rsid w:val="002F2458"/>
    <w:rsid w:val="002F7AFE"/>
    <w:rsid w:val="00304ADF"/>
    <w:rsid w:val="00314F4A"/>
    <w:rsid w:val="00315884"/>
    <w:rsid w:val="00330D27"/>
    <w:rsid w:val="0033433B"/>
    <w:rsid w:val="003373A9"/>
    <w:rsid w:val="0035730C"/>
    <w:rsid w:val="00363F48"/>
    <w:rsid w:val="003649EE"/>
    <w:rsid w:val="00365048"/>
    <w:rsid w:val="00365CC4"/>
    <w:rsid w:val="00377142"/>
    <w:rsid w:val="00393E5B"/>
    <w:rsid w:val="00394C36"/>
    <w:rsid w:val="0039537B"/>
    <w:rsid w:val="003959C2"/>
    <w:rsid w:val="003C6791"/>
    <w:rsid w:val="003D4FD5"/>
    <w:rsid w:val="003E05C9"/>
    <w:rsid w:val="003E17CC"/>
    <w:rsid w:val="003E4352"/>
    <w:rsid w:val="003F4FBC"/>
    <w:rsid w:val="003F565B"/>
    <w:rsid w:val="004006D0"/>
    <w:rsid w:val="004110F6"/>
    <w:rsid w:val="00413914"/>
    <w:rsid w:val="0042274A"/>
    <w:rsid w:val="004245F0"/>
    <w:rsid w:val="00424AEA"/>
    <w:rsid w:val="00427110"/>
    <w:rsid w:val="00433416"/>
    <w:rsid w:val="00434577"/>
    <w:rsid w:val="00434BB1"/>
    <w:rsid w:val="0044089D"/>
    <w:rsid w:val="00442332"/>
    <w:rsid w:val="00446EBE"/>
    <w:rsid w:val="0044720D"/>
    <w:rsid w:val="00452A52"/>
    <w:rsid w:val="0045601F"/>
    <w:rsid w:val="00456D47"/>
    <w:rsid w:val="00457E0E"/>
    <w:rsid w:val="00462E3A"/>
    <w:rsid w:val="00482D44"/>
    <w:rsid w:val="00482F1F"/>
    <w:rsid w:val="00483ED5"/>
    <w:rsid w:val="004942A1"/>
    <w:rsid w:val="0049637A"/>
    <w:rsid w:val="00496508"/>
    <w:rsid w:val="004A628E"/>
    <w:rsid w:val="004A731D"/>
    <w:rsid w:val="004C25F3"/>
    <w:rsid w:val="004C6CB7"/>
    <w:rsid w:val="004C75FE"/>
    <w:rsid w:val="004D0B28"/>
    <w:rsid w:val="004E0417"/>
    <w:rsid w:val="004E5027"/>
    <w:rsid w:val="004F3CA4"/>
    <w:rsid w:val="004F5C48"/>
    <w:rsid w:val="004F6741"/>
    <w:rsid w:val="00502FCA"/>
    <w:rsid w:val="00523203"/>
    <w:rsid w:val="0052540D"/>
    <w:rsid w:val="00542F6C"/>
    <w:rsid w:val="00543D1F"/>
    <w:rsid w:val="005516FA"/>
    <w:rsid w:val="00563A28"/>
    <w:rsid w:val="00566B1B"/>
    <w:rsid w:val="00570DAD"/>
    <w:rsid w:val="0057224A"/>
    <w:rsid w:val="00573BC5"/>
    <w:rsid w:val="0057440D"/>
    <w:rsid w:val="0058185C"/>
    <w:rsid w:val="00582370"/>
    <w:rsid w:val="005873C1"/>
    <w:rsid w:val="0059440B"/>
    <w:rsid w:val="00594760"/>
    <w:rsid w:val="00594A93"/>
    <w:rsid w:val="005A09A9"/>
    <w:rsid w:val="005A414E"/>
    <w:rsid w:val="005A7217"/>
    <w:rsid w:val="005B0410"/>
    <w:rsid w:val="005B0D9B"/>
    <w:rsid w:val="005B7A0C"/>
    <w:rsid w:val="005C291D"/>
    <w:rsid w:val="005C6785"/>
    <w:rsid w:val="005C6AD2"/>
    <w:rsid w:val="005D4A02"/>
    <w:rsid w:val="005D6AEE"/>
    <w:rsid w:val="005E6C13"/>
    <w:rsid w:val="005F3B66"/>
    <w:rsid w:val="005F6C1F"/>
    <w:rsid w:val="0060519C"/>
    <w:rsid w:val="00611A01"/>
    <w:rsid w:val="00627884"/>
    <w:rsid w:val="00631B2A"/>
    <w:rsid w:val="00632CC5"/>
    <w:rsid w:val="0063626A"/>
    <w:rsid w:val="00640DE2"/>
    <w:rsid w:val="00646F51"/>
    <w:rsid w:val="00647337"/>
    <w:rsid w:val="00656B2B"/>
    <w:rsid w:val="00657A59"/>
    <w:rsid w:val="0066131B"/>
    <w:rsid w:val="006616D2"/>
    <w:rsid w:val="0066440E"/>
    <w:rsid w:val="0067102B"/>
    <w:rsid w:val="00672FA5"/>
    <w:rsid w:val="00674058"/>
    <w:rsid w:val="00677D3B"/>
    <w:rsid w:val="006829B4"/>
    <w:rsid w:val="00685864"/>
    <w:rsid w:val="006A61E1"/>
    <w:rsid w:val="006B3857"/>
    <w:rsid w:val="006B62A5"/>
    <w:rsid w:val="006C15B1"/>
    <w:rsid w:val="006C5826"/>
    <w:rsid w:val="006C6F4F"/>
    <w:rsid w:val="006D14F1"/>
    <w:rsid w:val="006D1E6A"/>
    <w:rsid w:val="006E7621"/>
    <w:rsid w:val="007006D3"/>
    <w:rsid w:val="00702EA6"/>
    <w:rsid w:val="00702EF5"/>
    <w:rsid w:val="00704F9F"/>
    <w:rsid w:val="00707152"/>
    <w:rsid w:val="007119C1"/>
    <w:rsid w:val="00714837"/>
    <w:rsid w:val="00722739"/>
    <w:rsid w:val="0073478E"/>
    <w:rsid w:val="00741983"/>
    <w:rsid w:val="0074619A"/>
    <w:rsid w:val="007517F7"/>
    <w:rsid w:val="00752545"/>
    <w:rsid w:val="00755AB9"/>
    <w:rsid w:val="00755BF0"/>
    <w:rsid w:val="00762FD1"/>
    <w:rsid w:val="007648B5"/>
    <w:rsid w:val="00765837"/>
    <w:rsid w:val="00770398"/>
    <w:rsid w:val="007813B0"/>
    <w:rsid w:val="00791B4E"/>
    <w:rsid w:val="00791D08"/>
    <w:rsid w:val="007957B8"/>
    <w:rsid w:val="007A0EDA"/>
    <w:rsid w:val="007A3C3D"/>
    <w:rsid w:val="007B2DD2"/>
    <w:rsid w:val="007B3B63"/>
    <w:rsid w:val="007B5BD7"/>
    <w:rsid w:val="007B720D"/>
    <w:rsid w:val="007B7771"/>
    <w:rsid w:val="007C008B"/>
    <w:rsid w:val="007C215D"/>
    <w:rsid w:val="007C3B3E"/>
    <w:rsid w:val="007C3F39"/>
    <w:rsid w:val="007D5F2E"/>
    <w:rsid w:val="007E2D0F"/>
    <w:rsid w:val="007E3EC6"/>
    <w:rsid w:val="007E501E"/>
    <w:rsid w:val="007F6F5F"/>
    <w:rsid w:val="008073B7"/>
    <w:rsid w:val="00811D67"/>
    <w:rsid w:val="00814F54"/>
    <w:rsid w:val="00817A10"/>
    <w:rsid w:val="00817B0A"/>
    <w:rsid w:val="00850464"/>
    <w:rsid w:val="00850F2E"/>
    <w:rsid w:val="00857015"/>
    <w:rsid w:val="00857479"/>
    <w:rsid w:val="00863562"/>
    <w:rsid w:val="00865D1D"/>
    <w:rsid w:val="00871568"/>
    <w:rsid w:val="0087788C"/>
    <w:rsid w:val="00880B52"/>
    <w:rsid w:val="008821DF"/>
    <w:rsid w:val="00895181"/>
    <w:rsid w:val="00896CE9"/>
    <w:rsid w:val="008A3420"/>
    <w:rsid w:val="008A5653"/>
    <w:rsid w:val="008C6BC5"/>
    <w:rsid w:val="008C7DF4"/>
    <w:rsid w:val="008D6B95"/>
    <w:rsid w:val="008E156E"/>
    <w:rsid w:val="008E3D19"/>
    <w:rsid w:val="00902CDF"/>
    <w:rsid w:val="00903B0B"/>
    <w:rsid w:val="00914E69"/>
    <w:rsid w:val="0091581E"/>
    <w:rsid w:val="009219A2"/>
    <w:rsid w:val="009227E4"/>
    <w:rsid w:val="00924A7C"/>
    <w:rsid w:val="00924C15"/>
    <w:rsid w:val="00927552"/>
    <w:rsid w:val="00932EED"/>
    <w:rsid w:val="00933953"/>
    <w:rsid w:val="009406E9"/>
    <w:rsid w:val="00947279"/>
    <w:rsid w:val="00952680"/>
    <w:rsid w:val="009539E1"/>
    <w:rsid w:val="00972F90"/>
    <w:rsid w:val="00980A52"/>
    <w:rsid w:val="009818D5"/>
    <w:rsid w:val="0098431D"/>
    <w:rsid w:val="00987C56"/>
    <w:rsid w:val="009A05CA"/>
    <w:rsid w:val="009A17CA"/>
    <w:rsid w:val="009B66DF"/>
    <w:rsid w:val="009C2F06"/>
    <w:rsid w:val="009C2FFE"/>
    <w:rsid w:val="009F3A75"/>
    <w:rsid w:val="00A021F8"/>
    <w:rsid w:val="00A03598"/>
    <w:rsid w:val="00A05BDA"/>
    <w:rsid w:val="00A07B1C"/>
    <w:rsid w:val="00A1627D"/>
    <w:rsid w:val="00A23642"/>
    <w:rsid w:val="00A4453B"/>
    <w:rsid w:val="00A57253"/>
    <w:rsid w:val="00A60C35"/>
    <w:rsid w:val="00AA0067"/>
    <w:rsid w:val="00AA1834"/>
    <w:rsid w:val="00AB4381"/>
    <w:rsid w:val="00AB48B4"/>
    <w:rsid w:val="00AB55D0"/>
    <w:rsid w:val="00AC4793"/>
    <w:rsid w:val="00AC6317"/>
    <w:rsid w:val="00AE03C3"/>
    <w:rsid w:val="00B01109"/>
    <w:rsid w:val="00B1116D"/>
    <w:rsid w:val="00B1455E"/>
    <w:rsid w:val="00B25EEC"/>
    <w:rsid w:val="00B3091E"/>
    <w:rsid w:val="00B31420"/>
    <w:rsid w:val="00B3362D"/>
    <w:rsid w:val="00B36C61"/>
    <w:rsid w:val="00B40EE4"/>
    <w:rsid w:val="00B45271"/>
    <w:rsid w:val="00B46A12"/>
    <w:rsid w:val="00B47302"/>
    <w:rsid w:val="00B5251D"/>
    <w:rsid w:val="00B532F5"/>
    <w:rsid w:val="00B53503"/>
    <w:rsid w:val="00B53E30"/>
    <w:rsid w:val="00B54829"/>
    <w:rsid w:val="00B56AC5"/>
    <w:rsid w:val="00B64086"/>
    <w:rsid w:val="00B67671"/>
    <w:rsid w:val="00B712A0"/>
    <w:rsid w:val="00B7245C"/>
    <w:rsid w:val="00B82E82"/>
    <w:rsid w:val="00B90796"/>
    <w:rsid w:val="00B91F9D"/>
    <w:rsid w:val="00B93A25"/>
    <w:rsid w:val="00B94AA2"/>
    <w:rsid w:val="00B9736F"/>
    <w:rsid w:val="00BA0A0A"/>
    <w:rsid w:val="00BA5AAB"/>
    <w:rsid w:val="00BA6BCD"/>
    <w:rsid w:val="00BB54C5"/>
    <w:rsid w:val="00BC093F"/>
    <w:rsid w:val="00BC1B8B"/>
    <w:rsid w:val="00BC1BF2"/>
    <w:rsid w:val="00BC30C1"/>
    <w:rsid w:val="00BE1D97"/>
    <w:rsid w:val="00BE2D37"/>
    <w:rsid w:val="00BE4938"/>
    <w:rsid w:val="00BE4C41"/>
    <w:rsid w:val="00BF531F"/>
    <w:rsid w:val="00C20DCF"/>
    <w:rsid w:val="00C362AA"/>
    <w:rsid w:val="00C524F1"/>
    <w:rsid w:val="00C52C1B"/>
    <w:rsid w:val="00C53065"/>
    <w:rsid w:val="00C541B4"/>
    <w:rsid w:val="00C60AF1"/>
    <w:rsid w:val="00C6205C"/>
    <w:rsid w:val="00C74703"/>
    <w:rsid w:val="00C750B4"/>
    <w:rsid w:val="00C832B1"/>
    <w:rsid w:val="00C83F56"/>
    <w:rsid w:val="00C86742"/>
    <w:rsid w:val="00C9174B"/>
    <w:rsid w:val="00C91959"/>
    <w:rsid w:val="00C949ED"/>
    <w:rsid w:val="00C96D55"/>
    <w:rsid w:val="00CA3CFF"/>
    <w:rsid w:val="00CA59FC"/>
    <w:rsid w:val="00CA6AA2"/>
    <w:rsid w:val="00CA6DEC"/>
    <w:rsid w:val="00CA7ACB"/>
    <w:rsid w:val="00CC0328"/>
    <w:rsid w:val="00CC056C"/>
    <w:rsid w:val="00CC0F0D"/>
    <w:rsid w:val="00CC5F99"/>
    <w:rsid w:val="00CD09B7"/>
    <w:rsid w:val="00CD1F81"/>
    <w:rsid w:val="00CD5F20"/>
    <w:rsid w:val="00CE1913"/>
    <w:rsid w:val="00CE59D7"/>
    <w:rsid w:val="00D00BB4"/>
    <w:rsid w:val="00D02625"/>
    <w:rsid w:val="00D03947"/>
    <w:rsid w:val="00D058F4"/>
    <w:rsid w:val="00D075CE"/>
    <w:rsid w:val="00D07D82"/>
    <w:rsid w:val="00D118B3"/>
    <w:rsid w:val="00D16CD2"/>
    <w:rsid w:val="00D17087"/>
    <w:rsid w:val="00D3589E"/>
    <w:rsid w:val="00D36088"/>
    <w:rsid w:val="00D43689"/>
    <w:rsid w:val="00D45215"/>
    <w:rsid w:val="00D51289"/>
    <w:rsid w:val="00D53254"/>
    <w:rsid w:val="00D572F6"/>
    <w:rsid w:val="00D84276"/>
    <w:rsid w:val="00D849D0"/>
    <w:rsid w:val="00D8535F"/>
    <w:rsid w:val="00D920E7"/>
    <w:rsid w:val="00D9259D"/>
    <w:rsid w:val="00D967E3"/>
    <w:rsid w:val="00DA0CD6"/>
    <w:rsid w:val="00DA2CB2"/>
    <w:rsid w:val="00DA5703"/>
    <w:rsid w:val="00DA7BF3"/>
    <w:rsid w:val="00DB0122"/>
    <w:rsid w:val="00DB0155"/>
    <w:rsid w:val="00DB57D5"/>
    <w:rsid w:val="00DC1C6D"/>
    <w:rsid w:val="00DC399C"/>
    <w:rsid w:val="00DC4D3D"/>
    <w:rsid w:val="00DC609E"/>
    <w:rsid w:val="00DE4B39"/>
    <w:rsid w:val="00DE68C8"/>
    <w:rsid w:val="00DF1466"/>
    <w:rsid w:val="00DF2BC3"/>
    <w:rsid w:val="00DF71F9"/>
    <w:rsid w:val="00DF7EA3"/>
    <w:rsid w:val="00E00299"/>
    <w:rsid w:val="00E01C7C"/>
    <w:rsid w:val="00E0397D"/>
    <w:rsid w:val="00E21524"/>
    <w:rsid w:val="00E34A44"/>
    <w:rsid w:val="00E34AD9"/>
    <w:rsid w:val="00E412A3"/>
    <w:rsid w:val="00E44C21"/>
    <w:rsid w:val="00E555CD"/>
    <w:rsid w:val="00E5762E"/>
    <w:rsid w:val="00E75B99"/>
    <w:rsid w:val="00E765C2"/>
    <w:rsid w:val="00E82625"/>
    <w:rsid w:val="00E85BCA"/>
    <w:rsid w:val="00E874B5"/>
    <w:rsid w:val="00E87ABE"/>
    <w:rsid w:val="00E916B6"/>
    <w:rsid w:val="00EA7037"/>
    <w:rsid w:val="00EA7624"/>
    <w:rsid w:val="00EB2B60"/>
    <w:rsid w:val="00EB6179"/>
    <w:rsid w:val="00EB643F"/>
    <w:rsid w:val="00EC3ED9"/>
    <w:rsid w:val="00EE2505"/>
    <w:rsid w:val="00EE3F9E"/>
    <w:rsid w:val="00EE60EC"/>
    <w:rsid w:val="00F061DE"/>
    <w:rsid w:val="00F12ABB"/>
    <w:rsid w:val="00F1447D"/>
    <w:rsid w:val="00F24161"/>
    <w:rsid w:val="00F319C3"/>
    <w:rsid w:val="00F32029"/>
    <w:rsid w:val="00F45B5D"/>
    <w:rsid w:val="00F5521C"/>
    <w:rsid w:val="00F570B4"/>
    <w:rsid w:val="00F66115"/>
    <w:rsid w:val="00F70AB5"/>
    <w:rsid w:val="00F725B0"/>
    <w:rsid w:val="00F75843"/>
    <w:rsid w:val="00F81BCD"/>
    <w:rsid w:val="00F8496D"/>
    <w:rsid w:val="00F92E72"/>
    <w:rsid w:val="00F97F6F"/>
    <w:rsid w:val="00FB497A"/>
    <w:rsid w:val="00FB52B9"/>
    <w:rsid w:val="00FC5A71"/>
    <w:rsid w:val="00FD12C0"/>
    <w:rsid w:val="00FD3AE5"/>
    <w:rsid w:val="00FE2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A9E2"/>
  <w15:docId w15:val="{FB0F343A-D6DF-4D40-900A-C3CA231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3ED9"/>
    <w:rPr>
      <w:b/>
      <w:bCs/>
    </w:rPr>
  </w:style>
  <w:style w:type="paragraph" w:styleId="FootnoteText">
    <w:name w:val="footnote text"/>
    <w:basedOn w:val="Normal"/>
    <w:link w:val="FootnoteTextChar"/>
    <w:uiPriority w:val="99"/>
    <w:semiHidden/>
    <w:unhideWhenUsed/>
    <w:rsid w:val="00B46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A12"/>
    <w:rPr>
      <w:sz w:val="20"/>
      <w:szCs w:val="20"/>
    </w:rPr>
  </w:style>
  <w:style w:type="character" w:styleId="FootnoteReference">
    <w:name w:val="footnote reference"/>
    <w:basedOn w:val="DefaultParagraphFont"/>
    <w:uiPriority w:val="99"/>
    <w:semiHidden/>
    <w:unhideWhenUsed/>
    <w:rsid w:val="00B46A12"/>
    <w:rPr>
      <w:vertAlign w:val="superscript"/>
    </w:rPr>
  </w:style>
  <w:style w:type="paragraph" w:styleId="ListParagraph">
    <w:name w:val="List Paragraph"/>
    <w:basedOn w:val="Normal"/>
    <w:uiPriority w:val="34"/>
    <w:qFormat/>
    <w:rsid w:val="007119C1"/>
    <w:pPr>
      <w:ind w:left="720"/>
      <w:contextualSpacing/>
    </w:pPr>
  </w:style>
  <w:style w:type="paragraph" w:styleId="Header">
    <w:name w:val="header"/>
    <w:basedOn w:val="Normal"/>
    <w:link w:val="HeaderChar"/>
    <w:uiPriority w:val="99"/>
    <w:unhideWhenUsed/>
    <w:rsid w:val="00661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31B"/>
  </w:style>
  <w:style w:type="paragraph" w:styleId="Footer">
    <w:name w:val="footer"/>
    <w:basedOn w:val="Normal"/>
    <w:link w:val="FooterChar"/>
    <w:uiPriority w:val="99"/>
    <w:unhideWhenUsed/>
    <w:rsid w:val="00661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31B"/>
  </w:style>
  <w:style w:type="paragraph" w:styleId="NormalWeb">
    <w:name w:val="Normal (Web)"/>
    <w:basedOn w:val="Normal"/>
    <w:uiPriority w:val="99"/>
    <w:unhideWhenUsed/>
    <w:rsid w:val="00FD3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3AE5"/>
  </w:style>
  <w:style w:type="paragraph" w:styleId="BalloonText">
    <w:name w:val="Balloon Text"/>
    <w:basedOn w:val="Normal"/>
    <w:link w:val="BalloonTextChar"/>
    <w:uiPriority w:val="99"/>
    <w:semiHidden/>
    <w:unhideWhenUsed/>
    <w:rsid w:val="004F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A4"/>
    <w:rPr>
      <w:rFonts w:ascii="Tahoma" w:hAnsi="Tahoma" w:cs="Tahoma"/>
      <w:sz w:val="16"/>
      <w:szCs w:val="16"/>
    </w:rPr>
  </w:style>
  <w:style w:type="character" w:styleId="Hyperlink">
    <w:name w:val="Hyperlink"/>
    <w:basedOn w:val="DefaultParagraphFont"/>
    <w:uiPriority w:val="99"/>
    <w:semiHidden/>
    <w:unhideWhenUsed/>
    <w:rsid w:val="002649ED"/>
    <w:rPr>
      <w:color w:val="0000FF"/>
      <w:u w:val="single"/>
    </w:rPr>
  </w:style>
  <w:style w:type="character" w:customStyle="1" w:styleId="ssit">
    <w:name w:val="ss_it"/>
    <w:basedOn w:val="DefaultParagraphFont"/>
    <w:rsid w:val="002649ED"/>
  </w:style>
  <w:style w:type="character" w:styleId="CommentReference">
    <w:name w:val="annotation reference"/>
    <w:basedOn w:val="DefaultParagraphFont"/>
    <w:rsid w:val="00A4453B"/>
    <w:rPr>
      <w:sz w:val="16"/>
      <w:szCs w:val="16"/>
    </w:rPr>
  </w:style>
  <w:style w:type="paragraph" w:styleId="CommentText">
    <w:name w:val="annotation text"/>
    <w:basedOn w:val="Normal"/>
    <w:link w:val="CommentTextChar"/>
    <w:rsid w:val="00A4453B"/>
    <w:pPr>
      <w:spacing w:line="240" w:lineRule="auto"/>
    </w:pPr>
    <w:rPr>
      <w:sz w:val="20"/>
      <w:szCs w:val="20"/>
    </w:rPr>
  </w:style>
  <w:style w:type="character" w:customStyle="1" w:styleId="CommentTextChar">
    <w:name w:val="Comment Text Char"/>
    <w:basedOn w:val="DefaultParagraphFont"/>
    <w:link w:val="CommentText"/>
    <w:rsid w:val="00A4453B"/>
    <w:rPr>
      <w:sz w:val="20"/>
      <w:szCs w:val="20"/>
    </w:rPr>
  </w:style>
  <w:style w:type="paragraph" w:styleId="CommentSubject">
    <w:name w:val="annotation subject"/>
    <w:basedOn w:val="CommentText"/>
    <w:next w:val="CommentText"/>
    <w:link w:val="CommentSubjectChar"/>
    <w:rsid w:val="00A4453B"/>
    <w:rPr>
      <w:b/>
      <w:bCs/>
    </w:rPr>
  </w:style>
  <w:style w:type="character" w:customStyle="1" w:styleId="CommentSubjectChar">
    <w:name w:val="Comment Subject Char"/>
    <w:basedOn w:val="CommentTextChar"/>
    <w:link w:val="CommentSubject"/>
    <w:rsid w:val="00A4453B"/>
    <w:rPr>
      <w:b/>
      <w:bCs/>
      <w:sz w:val="20"/>
      <w:szCs w:val="20"/>
    </w:rPr>
  </w:style>
  <w:style w:type="paragraph" w:customStyle="1" w:styleId="Normal1">
    <w:name w:val="Normal1"/>
    <w:rsid w:val="00933953"/>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824F-9E45-4B97-A38F-52618AD1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T. Smith</dc:creator>
  <cp:lastModifiedBy>Sarah LoPresti</cp:lastModifiedBy>
  <cp:revision>3</cp:revision>
  <cp:lastPrinted>2018-07-30T15:04:00Z</cp:lastPrinted>
  <dcterms:created xsi:type="dcterms:W3CDTF">2018-07-31T17:58:00Z</dcterms:created>
  <dcterms:modified xsi:type="dcterms:W3CDTF">2020-12-23T16:22:00Z</dcterms:modified>
</cp:coreProperties>
</file>