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46AA6" w14:textId="77777777" w:rsidR="00D02C4B" w:rsidRPr="00B7739A" w:rsidRDefault="00D02C4B" w:rsidP="00D02C4B">
      <w:pPr>
        <w:jc w:val="center"/>
        <w:rPr>
          <w:b/>
          <w:i/>
        </w:rPr>
      </w:pPr>
      <w:r w:rsidRPr="00B7739A">
        <w:rPr>
          <w:b/>
          <w:i/>
        </w:rPr>
        <w:t>[Please note:  This is a memorandum by a law student intern.  It is intended to jump-start your own research.  We have not Shepardized the cases or determined that the student’s analysis of the cases or other sources is correct.]</w:t>
      </w:r>
    </w:p>
    <w:p w14:paraId="576CFCB2" w14:textId="7E59775D" w:rsidR="00E15EC6" w:rsidRPr="00724F51" w:rsidRDefault="00E15EC6" w:rsidP="00E51BC6">
      <w:pPr>
        <w:jc w:val="center"/>
        <w:rPr>
          <w:rFonts w:ascii="Times New Roman" w:eastAsia="Times New Roman" w:hAnsi="Times New Roman" w:cs="Times New Roman"/>
          <w:b/>
          <w:smallCaps/>
          <w:sz w:val="28"/>
          <w:szCs w:val="28"/>
          <w:shd w:val="clear" w:color="auto" w:fill="FFFFFF"/>
        </w:rPr>
      </w:pPr>
      <w:r w:rsidRPr="00724F51">
        <w:rPr>
          <w:rFonts w:ascii="Times New Roman" w:eastAsia="Times New Roman" w:hAnsi="Times New Roman" w:cs="Times New Roman"/>
          <w:b/>
          <w:smallCaps/>
          <w:sz w:val="28"/>
          <w:szCs w:val="28"/>
          <w:shd w:val="clear" w:color="auto" w:fill="FFFFFF"/>
        </w:rPr>
        <w:t>Memorandum</w:t>
      </w:r>
    </w:p>
    <w:p w14:paraId="0B270A90" w14:textId="68313829" w:rsidR="00E15EC6" w:rsidRPr="00724F51" w:rsidRDefault="00E15EC6" w:rsidP="00E15EC6">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TO:</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r>
      <w:r w:rsidR="00D02C4B">
        <w:rPr>
          <w:rFonts w:ascii="Times New Roman" w:eastAsia="Times New Roman" w:hAnsi="Times New Roman" w:cs="Times New Roman"/>
          <w:shd w:val="clear" w:color="auto" w:fill="FFFFFF"/>
        </w:rPr>
        <w:t>Appellate Panel Support Unit</w:t>
      </w:r>
    </w:p>
    <w:p w14:paraId="73CCFE3E" w14:textId="3785F9C5" w:rsidR="00E15EC6" w:rsidRPr="00724F51" w:rsidRDefault="00E15EC6" w:rsidP="00E15EC6">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FROM:</w:t>
      </w:r>
      <w:r w:rsidRPr="00724F51">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ab/>
      </w:r>
      <w:r w:rsidR="00D02C4B">
        <w:rPr>
          <w:rFonts w:ascii="Times New Roman" w:eastAsia="Times New Roman" w:hAnsi="Times New Roman" w:cs="Times New Roman"/>
          <w:shd w:val="clear" w:color="auto" w:fill="FFFFFF"/>
        </w:rPr>
        <w:t>Law Student Intern (EdC)</w:t>
      </w:r>
    </w:p>
    <w:p w14:paraId="1A4278C0" w14:textId="209EFAED" w:rsidR="00E15EC6" w:rsidRPr="00724F51" w:rsidRDefault="00E15EC6" w:rsidP="00E15EC6">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DATE:</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r>
      <w:r w:rsidR="00655A05">
        <w:rPr>
          <w:rFonts w:ascii="Times New Roman" w:eastAsia="Times New Roman" w:hAnsi="Times New Roman" w:cs="Times New Roman"/>
          <w:shd w:val="clear" w:color="auto" w:fill="FFFFFF"/>
        </w:rPr>
        <w:t>August</w:t>
      </w:r>
      <w:r w:rsidR="00D02C4B">
        <w:rPr>
          <w:rFonts w:ascii="Times New Roman" w:eastAsia="Times New Roman" w:hAnsi="Times New Roman" w:cs="Times New Roman"/>
          <w:shd w:val="clear" w:color="auto" w:fill="FFFFFF"/>
        </w:rPr>
        <w:t>,</w:t>
      </w:r>
      <w:r w:rsidRPr="00724F51">
        <w:rPr>
          <w:rFonts w:ascii="Times New Roman" w:eastAsia="Times New Roman" w:hAnsi="Times New Roman" w:cs="Times New Roman"/>
          <w:shd w:val="clear" w:color="auto" w:fill="FFFFFF"/>
        </w:rPr>
        <w:t xml:space="preserve"> 2020</w:t>
      </w:r>
    </w:p>
    <w:p w14:paraId="031F2AB5" w14:textId="4998F92C" w:rsidR="00E15EC6" w:rsidRDefault="00E15EC6" w:rsidP="00E15EC6">
      <w:pPr>
        <w:pBdr>
          <w:bottom w:val="single" w:sz="12" w:space="1" w:color="auto"/>
        </w:pBd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RE:</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t>Due Process</w:t>
      </w:r>
      <w:r>
        <w:rPr>
          <w:rFonts w:ascii="Times New Roman" w:eastAsia="Times New Roman" w:hAnsi="Times New Roman" w:cs="Times New Roman"/>
          <w:shd w:val="clear" w:color="auto" w:fill="FFFFFF"/>
        </w:rPr>
        <w:t>—Failure to Prepare for Trial</w:t>
      </w:r>
    </w:p>
    <w:p w14:paraId="0C9BD645" w14:textId="77777777" w:rsidR="00D02C4B" w:rsidRPr="00724F51" w:rsidRDefault="00D02C4B" w:rsidP="00E15EC6">
      <w:pPr>
        <w:pBdr>
          <w:bottom w:val="single" w:sz="12" w:space="1" w:color="auto"/>
        </w:pBdr>
        <w:spacing w:line="240" w:lineRule="auto"/>
        <w:rPr>
          <w:rFonts w:ascii="Times New Roman" w:eastAsia="Times New Roman" w:hAnsi="Times New Roman" w:cs="Times New Roman"/>
          <w:shd w:val="clear" w:color="auto" w:fill="FFFFFF"/>
        </w:rPr>
      </w:pPr>
      <w:bookmarkStart w:id="0" w:name="_GoBack"/>
      <w:bookmarkEnd w:id="0"/>
    </w:p>
    <w:p w14:paraId="5DB603C5" w14:textId="77777777" w:rsidR="00E15EC6" w:rsidRDefault="00E15EC6" w:rsidP="00E15EC6">
      <w:pPr>
        <w:jc w:val="center"/>
        <w:rPr>
          <w:rFonts w:ascii="Times New Roman" w:eastAsia="Times New Roman" w:hAnsi="Times New Roman" w:cs="Times New Roman"/>
          <w:b/>
          <w:bCs/>
          <w:u w:val="single"/>
          <w:shd w:val="clear" w:color="auto" w:fill="FFFFFF"/>
        </w:rPr>
      </w:pPr>
      <w:r w:rsidRPr="00CA05E3">
        <w:rPr>
          <w:rFonts w:ascii="Times New Roman" w:eastAsia="Times New Roman" w:hAnsi="Times New Roman" w:cs="Times New Roman"/>
          <w:b/>
          <w:bCs/>
          <w:u w:val="single"/>
          <w:shd w:val="clear" w:color="auto" w:fill="FFFFFF"/>
        </w:rPr>
        <w:t>QUESTIONS PRESENTED</w:t>
      </w:r>
    </w:p>
    <w:p w14:paraId="4FC5C2AD" w14:textId="4C2164E3" w:rsidR="00303255" w:rsidRDefault="00303255" w:rsidP="003032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Can an attorney’s lack of preparation for trial fall under the </w:t>
      </w:r>
      <w:r w:rsidR="0009343A">
        <w:rPr>
          <w:rFonts w:ascii="Times New Roman" w:hAnsi="Times New Roman" w:cs="Times New Roman"/>
          <w:sz w:val="24"/>
          <w:szCs w:val="24"/>
        </w:rPr>
        <w:t xml:space="preserve">purview </w:t>
      </w:r>
      <w:r>
        <w:rPr>
          <w:rFonts w:ascii="Times New Roman" w:hAnsi="Times New Roman" w:cs="Times New Roman"/>
          <w:sz w:val="24"/>
          <w:szCs w:val="24"/>
        </w:rPr>
        <w:t>of ineffective assistance of counsel? If yes,</w:t>
      </w:r>
      <w:r w:rsidR="00647B84">
        <w:rPr>
          <w:rFonts w:ascii="Times New Roman" w:hAnsi="Times New Roman" w:cs="Times New Roman"/>
          <w:sz w:val="24"/>
          <w:szCs w:val="24"/>
        </w:rPr>
        <w:t xml:space="preserve"> when does </w:t>
      </w:r>
      <w:r>
        <w:rPr>
          <w:rFonts w:ascii="Times New Roman" w:hAnsi="Times New Roman" w:cs="Times New Roman"/>
          <w:sz w:val="24"/>
          <w:szCs w:val="24"/>
        </w:rPr>
        <w:t>a failure to prepare for trial</w:t>
      </w:r>
      <w:r w:rsidR="00647B84">
        <w:rPr>
          <w:rFonts w:ascii="Times New Roman" w:hAnsi="Times New Roman" w:cs="Times New Roman"/>
          <w:sz w:val="24"/>
          <w:szCs w:val="24"/>
        </w:rPr>
        <w:t xml:space="preserve"> count as a violation of due process</w:t>
      </w:r>
      <w:r>
        <w:rPr>
          <w:rFonts w:ascii="Times New Roman" w:hAnsi="Times New Roman" w:cs="Times New Roman"/>
          <w:sz w:val="24"/>
          <w:szCs w:val="24"/>
        </w:rPr>
        <w:t xml:space="preserve">? What </w:t>
      </w:r>
      <w:r w:rsidR="00647B84">
        <w:rPr>
          <w:rFonts w:ascii="Times New Roman" w:hAnsi="Times New Roman" w:cs="Times New Roman"/>
          <w:sz w:val="24"/>
          <w:szCs w:val="24"/>
        </w:rPr>
        <w:t xml:space="preserve">constitutes </w:t>
      </w:r>
      <w:r>
        <w:rPr>
          <w:rFonts w:ascii="Times New Roman" w:hAnsi="Times New Roman" w:cs="Times New Roman"/>
          <w:sz w:val="24"/>
          <w:szCs w:val="24"/>
        </w:rPr>
        <w:t xml:space="preserve">failure to prepare in Massachusetts? </w:t>
      </w:r>
    </w:p>
    <w:p w14:paraId="0D02253F" w14:textId="1E2BAF0A" w:rsidR="00E15EC6" w:rsidRDefault="00E15EC6" w:rsidP="00240082">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BRIEF ANSWERS</w:t>
      </w:r>
    </w:p>
    <w:p w14:paraId="0CE6E069" w14:textId="52278040" w:rsidR="00303255" w:rsidRPr="00303255" w:rsidRDefault="00303255" w:rsidP="00404AA1">
      <w:pPr>
        <w:pStyle w:val="NoSpacing"/>
        <w:numPr>
          <w:ilvl w:val="0"/>
          <w:numId w:val="1"/>
        </w:numPr>
        <w:spacing w:line="480" w:lineRule="auto"/>
        <w:jc w:val="both"/>
        <w:rPr>
          <w:rFonts w:ascii="Times New Roman" w:hAnsi="Times New Roman" w:cs="Times New Roman"/>
          <w:sz w:val="24"/>
          <w:szCs w:val="24"/>
        </w:rPr>
      </w:pPr>
      <w:r w:rsidRPr="00303255">
        <w:rPr>
          <w:rFonts w:ascii="Times New Roman" w:hAnsi="Times New Roman" w:cs="Times New Roman"/>
          <w:sz w:val="24"/>
          <w:szCs w:val="24"/>
        </w:rPr>
        <w:t xml:space="preserve">Yes, the failure to prepare for trial </w:t>
      </w:r>
      <w:r w:rsidR="00647B84">
        <w:rPr>
          <w:rFonts w:ascii="Times New Roman" w:hAnsi="Times New Roman" w:cs="Times New Roman"/>
          <w:sz w:val="24"/>
          <w:szCs w:val="24"/>
        </w:rPr>
        <w:t>constitutes</w:t>
      </w:r>
      <w:r w:rsidRPr="00303255">
        <w:rPr>
          <w:rFonts w:ascii="Times New Roman" w:hAnsi="Times New Roman" w:cs="Times New Roman"/>
          <w:sz w:val="24"/>
          <w:szCs w:val="24"/>
        </w:rPr>
        <w:t xml:space="preserve"> ineffective assistance of counsel. </w:t>
      </w:r>
      <w:r w:rsidR="00404AA1">
        <w:rPr>
          <w:rFonts w:ascii="Times New Roman" w:hAnsi="Times New Roman" w:cs="Times New Roman"/>
          <w:sz w:val="24"/>
          <w:szCs w:val="24"/>
        </w:rPr>
        <w:t xml:space="preserve">Failure to prepare does not </w:t>
      </w:r>
      <w:r w:rsidR="00647B84">
        <w:rPr>
          <w:rFonts w:ascii="Times New Roman" w:hAnsi="Times New Roman" w:cs="Times New Roman"/>
          <w:sz w:val="24"/>
          <w:szCs w:val="24"/>
        </w:rPr>
        <w:t xml:space="preserve">depend </w:t>
      </w:r>
      <w:r w:rsidR="00404AA1">
        <w:rPr>
          <w:rFonts w:ascii="Times New Roman" w:hAnsi="Times New Roman" w:cs="Times New Roman"/>
          <w:sz w:val="24"/>
          <w:szCs w:val="24"/>
        </w:rPr>
        <w:t xml:space="preserve">on the amount of time the defense counsel had to prepare for trial alone. </w:t>
      </w:r>
    </w:p>
    <w:p w14:paraId="541BD57C" w14:textId="457F42B7" w:rsidR="00303255" w:rsidRPr="00303255" w:rsidRDefault="00647B84" w:rsidP="00404AA1">
      <w:pPr>
        <w:pStyle w:val="NoSpacing"/>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03255" w:rsidRPr="00303255">
        <w:rPr>
          <w:rFonts w:ascii="Times New Roman" w:hAnsi="Times New Roman" w:cs="Times New Roman"/>
          <w:sz w:val="24"/>
          <w:szCs w:val="24"/>
        </w:rPr>
        <w:t>failure to prepare on the part of the attorney can count as a violation of due process, and several Massachusetts cases provide guidance on the aspects of failure to prepare for trial.</w:t>
      </w:r>
    </w:p>
    <w:p w14:paraId="7FBFFF56" w14:textId="4C4DED0D" w:rsidR="00E15EC6" w:rsidRDefault="00E15EC6" w:rsidP="00E15EC6">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DISCUSSION</w:t>
      </w:r>
    </w:p>
    <w:p w14:paraId="7303E98A" w14:textId="107B7816" w:rsidR="00D76765" w:rsidRPr="00B41C49" w:rsidRDefault="00D76765" w:rsidP="00B41C49">
      <w:pPr>
        <w:pStyle w:val="NoSpacing"/>
        <w:spacing w:line="480" w:lineRule="auto"/>
        <w:ind w:firstLine="720"/>
        <w:jc w:val="both"/>
        <w:rPr>
          <w:rFonts w:ascii="Times New Roman" w:hAnsi="Times New Roman" w:cs="Times New Roman"/>
          <w:sz w:val="24"/>
          <w:szCs w:val="24"/>
        </w:rPr>
      </w:pPr>
      <w:r w:rsidRPr="00B41C49">
        <w:rPr>
          <w:rFonts w:ascii="Times New Roman" w:hAnsi="Times New Roman" w:cs="Times New Roman"/>
          <w:sz w:val="24"/>
          <w:szCs w:val="24"/>
        </w:rPr>
        <w:t xml:space="preserve">In general, the right to counsel for indigent parents </w:t>
      </w:r>
      <w:r w:rsidR="00647B84" w:rsidRPr="00B41C49">
        <w:rPr>
          <w:rFonts w:ascii="Times New Roman" w:hAnsi="Times New Roman" w:cs="Times New Roman"/>
          <w:sz w:val="24"/>
          <w:szCs w:val="24"/>
        </w:rPr>
        <w:t xml:space="preserve">in </w:t>
      </w:r>
      <w:r w:rsidR="00C23E27" w:rsidRPr="00B41C49">
        <w:rPr>
          <w:rFonts w:ascii="Times New Roman" w:hAnsi="Times New Roman" w:cs="Times New Roman"/>
          <w:sz w:val="24"/>
          <w:szCs w:val="24"/>
        </w:rPr>
        <w:t xml:space="preserve">Massachusetts </w:t>
      </w:r>
      <w:r w:rsidRPr="00B41C49">
        <w:rPr>
          <w:rFonts w:ascii="Times New Roman" w:hAnsi="Times New Roman" w:cs="Times New Roman"/>
          <w:sz w:val="24"/>
          <w:szCs w:val="24"/>
        </w:rPr>
        <w:t>termination proceeding</w:t>
      </w:r>
      <w:r w:rsidR="00647B84" w:rsidRPr="00B41C49">
        <w:rPr>
          <w:rFonts w:ascii="Times New Roman" w:hAnsi="Times New Roman" w:cs="Times New Roman"/>
          <w:sz w:val="24"/>
          <w:szCs w:val="24"/>
        </w:rPr>
        <w:t>s</w:t>
      </w:r>
      <w:r w:rsidRPr="00B41C49">
        <w:rPr>
          <w:rFonts w:ascii="Times New Roman" w:hAnsi="Times New Roman" w:cs="Times New Roman"/>
          <w:sz w:val="24"/>
          <w:szCs w:val="24"/>
        </w:rPr>
        <w:t xml:space="preserve"> is derived from M.G.L. c. 210, §3</w:t>
      </w:r>
      <w:r w:rsidR="00C23E27" w:rsidRPr="00B41C49">
        <w:rPr>
          <w:rFonts w:ascii="Times New Roman" w:hAnsi="Times New Roman" w:cs="Times New Roman"/>
          <w:sz w:val="24"/>
          <w:szCs w:val="24"/>
        </w:rPr>
        <w:t xml:space="preserve">, and has been </w:t>
      </w:r>
      <w:r w:rsidRPr="00B41C49">
        <w:rPr>
          <w:rFonts w:ascii="Times New Roman" w:hAnsi="Times New Roman" w:cs="Times New Roman"/>
          <w:sz w:val="24"/>
          <w:szCs w:val="24"/>
        </w:rPr>
        <w:t>identified as a procedural</w:t>
      </w:r>
      <w:r w:rsidRPr="00B41C49">
        <w:rPr>
          <w:rFonts w:ascii="Times New Roman" w:hAnsi="Times New Roman" w:cs="Times New Roman"/>
          <w:i/>
          <w:iCs/>
          <w:sz w:val="24"/>
          <w:szCs w:val="24"/>
        </w:rPr>
        <w:t xml:space="preserve"> </w:t>
      </w:r>
      <w:r w:rsidRPr="00B41C49">
        <w:rPr>
          <w:rFonts w:ascii="Times New Roman" w:hAnsi="Times New Roman" w:cs="Times New Roman"/>
          <w:sz w:val="24"/>
          <w:szCs w:val="24"/>
        </w:rPr>
        <w:t xml:space="preserve">due process right under the </w:t>
      </w:r>
      <w:r w:rsidR="00C23E27" w:rsidRPr="00B41C49">
        <w:rPr>
          <w:rFonts w:ascii="Times New Roman" w:hAnsi="Times New Roman" w:cs="Times New Roman"/>
          <w:sz w:val="24"/>
          <w:szCs w:val="24"/>
        </w:rPr>
        <w:t xml:space="preserve">Fourteenth </w:t>
      </w:r>
      <w:r w:rsidRPr="00B41C49">
        <w:rPr>
          <w:rFonts w:ascii="Times New Roman" w:hAnsi="Times New Roman" w:cs="Times New Roman"/>
          <w:sz w:val="24"/>
          <w:szCs w:val="24"/>
        </w:rPr>
        <w:t>Amendment and under Article 10 of the Declaration of Rights of the Massachusetts Constitution.</w:t>
      </w:r>
      <w:r w:rsidR="000E6D42">
        <w:rPr>
          <w:rStyle w:val="FootnoteReference"/>
          <w:rFonts w:ascii="Times New Roman" w:hAnsi="Times New Roman" w:cs="Times New Roman"/>
          <w:sz w:val="24"/>
          <w:szCs w:val="24"/>
        </w:rPr>
        <w:footnoteReference w:id="1"/>
      </w:r>
      <w:r w:rsidRPr="00B41C49">
        <w:rPr>
          <w:rFonts w:ascii="Times New Roman" w:hAnsi="Times New Roman" w:cs="Times New Roman"/>
          <w:sz w:val="24"/>
          <w:szCs w:val="24"/>
        </w:rPr>
        <w:t xml:space="preserve"> </w:t>
      </w:r>
      <w:r w:rsidRPr="00B41C49">
        <w:rPr>
          <w:rFonts w:ascii="Times New Roman" w:hAnsi="Times New Roman" w:cs="Times New Roman"/>
          <w:i/>
          <w:iCs/>
          <w:sz w:val="24"/>
          <w:szCs w:val="24"/>
        </w:rPr>
        <w:t xml:space="preserve">See Adoption of Olivia, </w:t>
      </w:r>
      <w:r w:rsidRPr="00B41C49">
        <w:rPr>
          <w:rFonts w:ascii="Times New Roman" w:hAnsi="Times New Roman" w:cs="Times New Roman"/>
          <w:sz w:val="24"/>
          <w:szCs w:val="24"/>
        </w:rPr>
        <w:t>53 Mass. App. Ct. 67</w:t>
      </w:r>
      <w:r w:rsidR="00C23E27" w:rsidRPr="00B41C49">
        <w:rPr>
          <w:rFonts w:ascii="Times New Roman" w:hAnsi="Times New Roman" w:cs="Times New Roman"/>
          <w:sz w:val="24"/>
          <w:szCs w:val="24"/>
        </w:rPr>
        <w:t>4</w:t>
      </w:r>
      <w:r w:rsidRPr="00B41C49">
        <w:rPr>
          <w:rFonts w:ascii="Times New Roman" w:hAnsi="Times New Roman" w:cs="Times New Roman"/>
          <w:sz w:val="24"/>
          <w:szCs w:val="24"/>
        </w:rPr>
        <w:t xml:space="preserve"> (2002)</w:t>
      </w:r>
      <w:r w:rsidR="00C23E27" w:rsidRPr="00B41C49">
        <w:rPr>
          <w:rFonts w:ascii="Times New Roman" w:hAnsi="Times New Roman" w:cs="Times New Roman"/>
          <w:sz w:val="24"/>
          <w:szCs w:val="24"/>
        </w:rPr>
        <w:t xml:space="preserve"> (footnote 3)</w:t>
      </w:r>
      <w:r w:rsidRPr="00B41C49">
        <w:rPr>
          <w:rFonts w:ascii="Times New Roman" w:hAnsi="Times New Roman" w:cs="Times New Roman"/>
          <w:sz w:val="24"/>
          <w:szCs w:val="24"/>
        </w:rPr>
        <w:t xml:space="preserve">. </w:t>
      </w:r>
      <w:r w:rsidR="00C23E27" w:rsidRPr="00B41C49">
        <w:rPr>
          <w:rFonts w:ascii="Times New Roman" w:hAnsi="Times New Roman" w:cs="Times New Roman"/>
          <w:sz w:val="24"/>
          <w:szCs w:val="24"/>
        </w:rPr>
        <w:lastRenderedPageBreak/>
        <w:t xml:space="preserve">As a result of a parent’s constitutionally protected fundamental interest in his or her child, “an indigent parent is entitled to court-appointed counsel in proceedings that terminate parental rights.” </w:t>
      </w:r>
      <w:r w:rsidR="00C23E27" w:rsidRPr="00B41C49">
        <w:rPr>
          <w:rFonts w:ascii="Times New Roman" w:hAnsi="Times New Roman" w:cs="Times New Roman"/>
          <w:i/>
          <w:iCs/>
          <w:sz w:val="24"/>
          <w:szCs w:val="24"/>
        </w:rPr>
        <w:t xml:space="preserve">Olivia, </w:t>
      </w:r>
      <w:r w:rsidR="00C23E27" w:rsidRPr="00B41C49">
        <w:rPr>
          <w:rFonts w:ascii="Times New Roman" w:hAnsi="Times New Roman" w:cs="Times New Roman"/>
          <w:sz w:val="24"/>
          <w:szCs w:val="24"/>
        </w:rPr>
        <w:t xml:space="preserve">53 Mass. App. Ct. at 674 (see </w:t>
      </w:r>
      <w:r w:rsidR="00C23E27" w:rsidRPr="00B41C49">
        <w:rPr>
          <w:rFonts w:ascii="Times New Roman" w:hAnsi="Times New Roman" w:cs="Times New Roman"/>
          <w:i/>
          <w:iCs/>
          <w:sz w:val="24"/>
          <w:szCs w:val="24"/>
        </w:rPr>
        <w:t xml:space="preserve">Care and Protection of Stephen, </w:t>
      </w:r>
      <w:r w:rsidR="00C23E27" w:rsidRPr="00B41C49">
        <w:rPr>
          <w:rFonts w:ascii="Times New Roman" w:hAnsi="Times New Roman" w:cs="Times New Roman"/>
          <w:sz w:val="24"/>
          <w:szCs w:val="24"/>
        </w:rPr>
        <w:t xml:space="preserve">401 Mass. 144, 149 (1987)). </w:t>
      </w:r>
      <w:r w:rsidR="00B41C49" w:rsidRPr="00B41C49">
        <w:rPr>
          <w:rFonts w:ascii="Times New Roman" w:hAnsi="Times New Roman" w:cs="Times New Roman"/>
          <w:sz w:val="24"/>
          <w:szCs w:val="24"/>
        </w:rPr>
        <w:t xml:space="preserve">An indigent parent has a </w:t>
      </w:r>
      <w:r w:rsidRPr="00B41C49">
        <w:rPr>
          <w:rFonts w:ascii="Times New Roman" w:hAnsi="Times New Roman" w:cs="Times New Roman"/>
          <w:sz w:val="24"/>
          <w:szCs w:val="24"/>
        </w:rPr>
        <w:t>procedural due process right</w:t>
      </w:r>
      <w:r w:rsidR="00B41C49" w:rsidRPr="00B41C49">
        <w:rPr>
          <w:rFonts w:ascii="Times New Roman" w:hAnsi="Times New Roman" w:cs="Times New Roman"/>
          <w:sz w:val="24"/>
          <w:szCs w:val="24"/>
        </w:rPr>
        <w:t xml:space="preserve"> to appointed counsel</w:t>
      </w:r>
      <w:r w:rsidRPr="00B41C49">
        <w:rPr>
          <w:rFonts w:ascii="Times New Roman" w:hAnsi="Times New Roman" w:cs="Times New Roman"/>
          <w:sz w:val="24"/>
          <w:szCs w:val="24"/>
        </w:rPr>
        <w:t xml:space="preserve">, but that counsel also must be effective. </w:t>
      </w:r>
    </w:p>
    <w:p w14:paraId="56460D0B" w14:textId="1E4A8D3D" w:rsidR="00D76765" w:rsidRPr="00B41C49" w:rsidRDefault="00303255" w:rsidP="00B41C49">
      <w:pPr>
        <w:pStyle w:val="NoSpacing"/>
        <w:spacing w:line="480" w:lineRule="auto"/>
        <w:ind w:firstLine="720"/>
        <w:jc w:val="both"/>
        <w:rPr>
          <w:rFonts w:ascii="Times New Roman" w:hAnsi="Times New Roman" w:cs="Times New Roman"/>
          <w:sz w:val="24"/>
          <w:szCs w:val="24"/>
        </w:rPr>
      </w:pPr>
      <w:r w:rsidRPr="00B41C49">
        <w:rPr>
          <w:rFonts w:ascii="Times New Roman" w:hAnsi="Times New Roman" w:cs="Times New Roman"/>
          <w:sz w:val="24"/>
          <w:szCs w:val="24"/>
        </w:rPr>
        <w:t xml:space="preserve">Several cases </w:t>
      </w:r>
      <w:r w:rsidR="00EC7496" w:rsidRPr="00B41C49">
        <w:rPr>
          <w:rFonts w:ascii="Times New Roman" w:hAnsi="Times New Roman" w:cs="Times New Roman"/>
          <w:sz w:val="24"/>
          <w:szCs w:val="24"/>
        </w:rPr>
        <w:t xml:space="preserve">provide </w:t>
      </w:r>
      <w:r w:rsidRPr="00B41C49">
        <w:rPr>
          <w:rFonts w:ascii="Times New Roman" w:hAnsi="Times New Roman" w:cs="Times New Roman"/>
          <w:sz w:val="24"/>
          <w:szCs w:val="24"/>
        </w:rPr>
        <w:t>that</w:t>
      </w:r>
      <w:r w:rsidR="00240082" w:rsidRPr="00B41C49">
        <w:rPr>
          <w:rFonts w:ascii="Times New Roman" w:hAnsi="Times New Roman" w:cs="Times New Roman"/>
          <w:sz w:val="24"/>
          <w:szCs w:val="24"/>
        </w:rPr>
        <w:t xml:space="preserve"> </w:t>
      </w:r>
      <w:r w:rsidRPr="00B41C49">
        <w:rPr>
          <w:rFonts w:ascii="Times New Roman" w:hAnsi="Times New Roman" w:cs="Times New Roman"/>
          <w:sz w:val="24"/>
          <w:szCs w:val="24"/>
        </w:rPr>
        <w:t>counsel is ineffective</w:t>
      </w:r>
      <w:r w:rsidR="00240082" w:rsidRPr="00B41C49">
        <w:rPr>
          <w:rFonts w:ascii="Times New Roman" w:hAnsi="Times New Roman" w:cs="Times New Roman"/>
          <w:sz w:val="24"/>
          <w:szCs w:val="24"/>
        </w:rPr>
        <w:t xml:space="preserve"> if </w:t>
      </w:r>
      <w:r w:rsidR="00EC7496" w:rsidRPr="00B41C49">
        <w:rPr>
          <w:rFonts w:ascii="Times New Roman" w:hAnsi="Times New Roman" w:cs="Times New Roman"/>
          <w:sz w:val="24"/>
          <w:szCs w:val="24"/>
        </w:rPr>
        <w:t xml:space="preserve">counsel </w:t>
      </w:r>
      <w:r w:rsidR="00240082" w:rsidRPr="00B41C49">
        <w:rPr>
          <w:rFonts w:ascii="Times New Roman" w:hAnsi="Times New Roman" w:cs="Times New Roman"/>
          <w:sz w:val="24"/>
          <w:szCs w:val="24"/>
        </w:rPr>
        <w:t>fails to prepare for trial</w:t>
      </w:r>
      <w:r w:rsidR="00655A05">
        <w:rPr>
          <w:rFonts w:ascii="Times New Roman" w:hAnsi="Times New Roman" w:cs="Times New Roman"/>
          <w:sz w:val="24"/>
          <w:szCs w:val="24"/>
        </w:rPr>
        <w:t xml:space="preserve"> in some manner.</w:t>
      </w:r>
      <w:r w:rsidR="00EC7496" w:rsidRPr="00B41C49">
        <w:rPr>
          <w:rFonts w:ascii="Times New Roman" w:hAnsi="Times New Roman" w:cs="Times New Roman"/>
          <w:sz w:val="24"/>
          <w:szCs w:val="24"/>
        </w:rPr>
        <w:t xml:space="preserve"> </w:t>
      </w:r>
      <w:r w:rsidR="007C581B" w:rsidRPr="00B41C49">
        <w:rPr>
          <w:rFonts w:ascii="Times New Roman" w:hAnsi="Times New Roman" w:cs="Times New Roman"/>
          <w:i/>
          <w:iCs/>
          <w:sz w:val="24"/>
          <w:szCs w:val="24"/>
        </w:rPr>
        <w:t xml:space="preserve">Strickland v. Washington </w:t>
      </w:r>
      <w:r w:rsidR="007C581B" w:rsidRPr="00B41C49">
        <w:rPr>
          <w:rFonts w:ascii="Times New Roman" w:hAnsi="Times New Roman" w:cs="Times New Roman"/>
          <w:sz w:val="24"/>
          <w:szCs w:val="24"/>
        </w:rPr>
        <w:t xml:space="preserve">provides that the “proper standard for attorney performance is that of reasonably effective assistance.” 466 U.S. 668 (1984). </w:t>
      </w:r>
      <w:r w:rsidR="000B5246" w:rsidRPr="00B41C49">
        <w:rPr>
          <w:rFonts w:ascii="Times New Roman" w:hAnsi="Times New Roman" w:cs="Times New Roman"/>
          <w:sz w:val="24"/>
          <w:szCs w:val="24"/>
        </w:rPr>
        <w:t xml:space="preserve">The </w:t>
      </w:r>
      <w:r w:rsidR="000B5246" w:rsidRPr="00B41C49">
        <w:rPr>
          <w:rFonts w:ascii="Times New Roman" w:hAnsi="Times New Roman" w:cs="Times New Roman"/>
          <w:i/>
          <w:iCs/>
          <w:sz w:val="24"/>
          <w:szCs w:val="24"/>
        </w:rPr>
        <w:t xml:space="preserve">Strickland </w:t>
      </w:r>
      <w:r w:rsidR="000B5246" w:rsidRPr="00B41C49">
        <w:rPr>
          <w:rFonts w:ascii="Times New Roman" w:hAnsi="Times New Roman" w:cs="Times New Roman"/>
          <w:sz w:val="24"/>
          <w:szCs w:val="24"/>
        </w:rPr>
        <w:t>opinion further provide</w:t>
      </w:r>
      <w:r w:rsidR="00B800AF" w:rsidRPr="00B41C49">
        <w:rPr>
          <w:rFonts w:ascii="Times New Roman" w:hAnsi="Times New Roman" w:cs="Times New Roman"/>
          <w:sz w:val="24"/>
          <w:szCs w:val="24"/>
        </w:rPr>
        <w:t>s</w:t>
      </w:r>
      <w:r w:rsidR="000B5246" w:rsidRPr="00B41C49">
        <w:rPr>
          <w:rFonts w:ascii="Times New Roman" w:hAnsi="Times New Roman" w:cs="Times New Roman"/>
          <w:sz w:val="24"/>
          <w:szCs w:val="24"/>
        </w:rPr>
        <w:t xml:space="preserve"> that </w:t>
      </w:r>
      <w:r w:rsidR="000B5246" w:rsidRPr="00B41C49">
        <w:rPr>
          <w:rFonts w:ascii="Times New Roman" w:hAnsi="Times New Roman" w:cs="Times New Roman"/>
          <w:sz w:val="24"/>
          <w:szCs w:val="24"/>
          <w:shd w:val="clear" w:color="auto" w:fill="FFFFFF"/>
        </w:rPr>
        <w:t xml:space="preserve">“[a]n error by counsel, even if professionally unreasonable, does not warrant setting aside the judgment of a criminal proceeding if the error had no effect on the judgment.” 466 U.S. at 691. </w:t>
      </w:r>
      <w:r w:rsidR="00EC7496" w:rsidRPr="00B41C49">
        <w:rPr>
          <w:rFonts w:ascii="Times New Roman" w:hAnsi="Times New Roman" w:cs="Times New Roman"/>
          <w:sz w:val="24"/>
          <w:szCs w:val="24"/>
        </w:rPr>
        <w:t xml:space="preserve">The standard of review for finding ineffective assistance of counsel is provided in </w:t>
      </w:r>
      <w:r w:rsidR="00EC7496" w:rsidRPr="00B41C49">
        <w:rPr>
          <w:rFonts w:ascii="Times New Roman" w:hAnsi="Times New Roman" w:cs="Times New Roman"/>
          <w:i/>
          <w:iCs/>
          <w:sz w:val="24"/>
          <w:szCs w:val="24"/>
        </w:rPr>
        <w:t>Commonwealth v. Saferian</w:t>
      </w:r>
      <w:r w:rsidR="00815549" w:rsidRPr="00B41C49">
        <w:rPr>
          <w:rFonts w:ascii="Times New Roman" w:hAnsi="Times New Roman" w:cs="Times New Roman"/>
          <w:sz w:val="24"/>
          <w:szCs w:val="24"/>
        </w:rPr>
        <w:t>’s two-part test</w:t>
      </w:r>
      <w:r w:rsidR="00EC7496" w:rsidRPr="00B41C49">
        <w:rPr>
          <w:rFonts w:ascii="Times New Roman" w:hAnsi="Times New Roman" w:cs="Times New Roman"/>
          <w:sz w:val="24"/>
          <w:szCs w:val="24"/>
        </w:rPr>
        <w:t xml:space="preserve">: Upon review, the court shall ask </w:t>
      </w:r>
      <w:r w:rsidR="00815549" w:rsidRPr="00B41C49">
        <w:rPr>
          <w:rFonts w:ascii="Times New Roman" w:hAnsi="Times New Roman" w:cs="Times New Roman"/>
          <w:sz w:val="24"/>
          <w:szCs w:val="24"/>
        </w:rPr>
        <w:t xml:space="preserve">(1) </w:t>
      </w:r>
      <w:r w:rsidR="00EC7496" w:rsidRPr="00B41C49">
        <w:rPr>
          <w:rFonts w:ascii="Times New Roman" w:hAnsi="Times New Roman" w:cs="Times New Roman"/>
          <w:sz w:val="24"/>
          <w:szCs w:val="24"/>
        </w:rPr>
        <w:t>“whether there has been a serious incompetency, inefficiency, or inattention of counsel</w:t>
      </w:r>
      <w:r w:rsidR="00EC7496" w:rsidRPr="00B41C49">
        <w:rPr>
          <w:rFonts w:ascii="Times New Roman" w:hAnsi="Times New Roman" w:cs="Times New Roman"/>
          <w:sz w:val="24"/>
          <w:szCs w:val="24"/>
          <w:shd w:val="clear" w:color="auto" w:fill="FFFFFF"/>
        </w:rPr>
        <w:t>—behavior of counsel falling measurably below that which might be expected from an ordinary fallible lawyer—</w:t>
      </w:r>
      <w:r w:rsidR="00815549" w:rsidRPr="00B41C49">
        <w:rPr>
          <w:rFonts w:ascii="Times New Roman" w:hAnsi="Times New Roman" w:cs="Times New Roman"/>
          <w:sz w:val="24"/>
          <w:szCs w:val="24"/>
          <w:shd w:val="clear" w:color="auto" w:fill="FFFFFF"/>
        </w:rPr>
        <w:t>"</w:t>
      </w:r>
      <w:r w:rsidR="00EC7496" w:rsidRPr="00B41C49">
        <w:rPr>
          <w:rFonts w:ascii="Times New Roman" w:hAnsi="Times New Roman" w:cs="Times New Roman"/>
          <w:sz w:val="24"/>
          <w:szCs w:val="24"/>
          <w:shd w:val="clear" w:color="auto" w:fill="FFFFFF"/>
        </w:rPr>
        <w:t>and</w:t>
      </w:r>
      <w:r w:rsidR="00815549" w:rsidRPr="00B41C49">
        <w:rPr>
          <w:rFonts w:ascii="Times New Roman" w:hAnsi="Times New Roman" w:cs="Times New Roman"/>
          <w:sz w:val="24"/>
          <w:szCs w:val="24"/>
          <w:shd w:val="clear" w:color="auto" w:fill="FFFFFF"/>
        </w:rPr>
        <w:t>; (2)</w:t>
      </w:r>
      <w:r w:rsidR="00EC7496" w:rsidRPr="00B41C49">
        <w:rPr>
          <w:rFonts w:ascii="Times New Roman" w:hAnsi="Times New Roman" w:cs="Times New Roman"/>
          <w:sz w:val="24"/>
          <w:szCs w:val="24"/>
          <w:shd w:val="clear" w:color="auto" w:fill="FFFFFF"/>
        </w:rPr>
        <w:t xml:space="preserve"> </w:t>
      </w:r>
      <w:r w:rsidR="00815549" w:rsidRPr="00B41C49">
        <w:rPr>
          <w:rFonts w:ascii="Times New Roman" w:hAnsi="Times New Roman" w:cs="Times New Roman"/>
          <w:sz w:val="24"/>
          <w:szCs w:val="24"/>
          <w:shd w:val="clear" w:color="auto" w:fill="FFFFFF"/>
        </w:rPr>
        <w:t>“</w:t>
      </w:r>
      <w:r w:rsidR="00EC7496" w:rsidRPr="00B41C49">
        <w:rPr>
          <w:rFonts w:ascii="Times New Roman" w:hAnsi="Times New Roman" w:cs="Times New Roman"/>
          <w:sz w:val="24"/>
          <w:szCs w:val="24"/>
          <w:shd w:val="clear" w:color="auto" w:fill="FFFFFF"/>
        </w:rPr>
        <w:t>if that is found, then</w:t>
      </w:r>
      <w:r w:rsidR="00815549" w:rsidRPr="00B41C49">
        <w:rPr>
          <w:rFonts w:ascii="Times New Roman" w:hAnsi="Times New Roman" w:cs="Times New Roman"/>
          <w:sz w:val="24"/>
          <w:szCs w:val="24"/>
          <w:shd w:val="clear" w:color="auto" w:fill="FFFFFF"/>
        </w:rPr>
        <w:t>…</w:t>
      </w:r>
      <w:r w:rsidR="00EC7496" w:rsidRPr="00B41C49">
        <w:rPr>
          <w:rFonts w:ascii="Times New Roman" w:hAnsi="Times New Roman" w:cs="Times New Roman"/>
          <w:sz w:val="24"/>
          <w:szCs w:val="24"/>
          <w:shd w:val="clear" w:color="auto" w:fill="FFFFFF"/>
        </w:rPr>
        <w:t xml:space="preserve">whether </w:t>
      </w:r>
      <w:r w:rsidR="00815549" w:rsidRPr="00B41C49">
        <w:rPr>
          <w:rFonts w:ascii="Times New Roman" w:hAnsi="Times New Roman" w:cs="Times New Roman"/>
          <w:sz w:val="24"/>
          <w:szCs w:val="24"/>
          <w:shd w:val="clear" w:color="auto" w:fill="FFFFFF"/>
        </w:rPr>
        <w:t xml:space="preserve">[counsel’s behavior] </w:t>
      </w:r>
      <w:r w:rsidR="00EC7496" w:rsidRPr="00B41C49">
        <w:rPr>
          <w:rFonts w:ascii="Times New Roman" w:hAnsi="Times New Roman" w:cs="Times New Roman"/>
          <w:sz w:val="24"/>
          <w:szCs w:val="24"/>
          <w:shd w:val="clear" w:color="auto" w:fill="FFFFFF"/>
        </w:rPr>
        <w:t>has likely deprived the defendant of an otherwise available, substantial ground of defen[s]e.”</w:t>
      </w:r>
      <w:r w:rsidR="00EC7496" w:rsidRPr="00B41C49">
        <w:rPr>
          <w:rFonts w:ascii="Times New Roman" w:hAnsi="Times New Roman" w:cs="Times New Roman"/>
          <w:sz w:val="24"/>
          <w:szCs w:val="24"/>
        </w:rPr>
        <w:t xml:space="preserve"> 366 Mass. 89, 96 (1974). Moreover, “[i]n addition to a showing of incompetence of counsel,” cases usually require a showing “of prejudice resulting therefrom</w:t>
      </w:r>
      <w:r w:rsidR="00063E41">
        <w:rPr>
          <w:rFonts w:ascii="Times New Roman" w:hAnsi="Times New Roman" w:cs="Times New Roman"/>
          <w:sz w:val="24"/>
          <w:szCs w:val="24"/>
        </w:rPr>
        <w:t xml:space="preserve">.” </w:t>
      </w:r>
      <w:r w:rsidR="00114FC3" w:rsidRPr="00B41C49">
        <w:rPr>
          <w:rFonts w:ascii="Times New Roman" w:hAnsi="Times New Roman" w:cs="Times New Roman"/>
          <w:i/>
          <w:iCs/>
          <w:sz w:val="24"/>
          <w:szCs w:val="24"/>
        </w:rPr>
        <w:t xml:space="preserve">Commonwealth v. Rondeau, </w:t>
      </w:r>
      <w:r w:rsidR="00114FC3" w:rsidRPr="00B41C49">
        <w:rPr>
          <w:rFonts w:ascii="Times New Roman" w:hAnsi="Times New Roman" w:cs="Times New Roman"/>
          <w:sz w:val="24"/>
          <w:szCs w:val="24"/>
        </w:rPr>
        <w:t>378 Mass. 408, 412 (1979).</w:t>
      </w:r>
      <w:r w:rsidR="00815549" w:rsidRPr="00B41C49">
        <w:rPr>
          <w:rFonts w:ascii="Times New Roman" w:hAnsi="Times New Roman" w:cs="Times New Roman"/>
          <w:sz w:val="24"/>
          <w:szCs w:val="24"/>
        </w:rPr>
        <w:t xml:space="preserve"> The Supreme Judicial Court </w:t>
      </w:r>
      <w:r w:rsidR="00E52A9C" w:rsidRPr="00B41C49">
        <w:rPr>
          <w:rFonts w:ascii="Times New Roman" w:hAnsi="Times New Roman" w:cs="Times New Roman"/>
          <w:sz w:val="24"/>
          <w:szCs w:val="24"/>
        </w:rPr>
        <w:t>also</w:t>
      </w:r>
      <w:r w:rsidR="00815549" w:rsidRPr="00B41C49">
        <w:rPr>
          <w:rFonts w:ascii="Times New Roman" w:hAnsi="Times New Roman" w:cs="Times New Roman"/>
          <w:sz w:val="24"/>
          <w:szCs w:val="24"/>
        </w:rPr>
        <w:t xml:space="preserve"> held that the two-part </w:t>
      </w:r>
      <w:r w:rsidR="00815549" w:rsidRPr="00B41C49">
        <w:rPr>
          <w:rFonts w:ascii="Times New Roman" w:hAnsi="Times New Roman" w:cs="Times New Roman"/>
          <w:i/>
          <w:iCs/>
          <w:sz w:val="24"/>
          <w:szCs w:val="24"/>
        </w:rPr>
        <w:t>Saferian</w:t>
      </w:r>
      <w:r w:rsidR="00815549" w:rsidRPr="00B41C49">
        <w:rPr>
          <w:rFonts w:ascii="Times New Roman" w:hAnsi="Times New Roman" w:cs="Times New Roman"/>
          <w:sz w:val="24"/>
          <w:szCs w:val="24"/>
        </w:rPr>
        <w:t xml:space="preserve"> test for evaluating the effectiveness of counsel “is an appropriate standard to apply” in care and protection proceedings, just lik</w:t>
      </w:r>
      <w:r w:rsidR="00E52A9C" w:rsidRPr="00B41C49">
        <w:rPr>
          <w:rFonts w:ascii="Times New Roman" w:hAnsi="Times New Roman" w:cs="Times New Roman"/>
          <w:sz w:val="24"/>
          <w:szCs w:val="24"/>
        </w:rPr>
        <w:t xml:space="preserve">e in </w:t>
      </w:r>
      <w:r w:rsidR="00815549" w:rsidRPr="00B41C49">
        <w:rPr>
          <w:rFonts w:ascii="Times New Roman" w:hAnsi="Times New Roman" w:cs="Times New Roman"/>
          <w:sz w:val="24"/>
          <w:szCs w:val="24"/>
        </w:rPr>
        <w:t xml:space="preserve">termination proceedings. </w:t>
      </w:r>
      <w:r w:rsidR="00815549" w:rsidRPr="00B41C49">
        <w:rPr>
          <w:rFonts w:ascii="Times New Roman" w:hAnsi="Times New Roman" w:cs="Times New Roman"/>
          <w:i/>
          <w:iCs/>
          <w:sz w:val="24"/>
          <w:szCs w:val="24"/>
        </w:rPr>
        <w:t xml:space="preserve">See In re Georgette, </w:t>
      </w:r>
      <w:r w:rsidR="00815549" w:rsidRPr="00B41C49">
        <w:rPr>
          <w:rFonts w:ascii="Times New Roman" w:hAnsi="Times New Roman" w:cs="Times New Roman"/>
          <w:sz w:val="24"/>
          <w:szCs w:val="24"/>
        </w:rPr>
        <w:t xml:space="preserve">439 Mass. 28, 33 (2003); </w:t>
      </w:r>
      <w:r w:rsidR="00815549" w:rsidRPr="00B41C49">
        <w:rPr>
          <w:rFonts w:ascii="Times New Roman" w:hAnsi="Times New Roman" w:cs="Times New Roman"/>
          <w:i/>
          <w:iCs/>
          <w:sz w:val="24"/>
          <w:szCs w:val="24"/>
        </w:rPr>
        <w:t xml:space="preserve">In re Stephen, </w:t>
      </w:r>
      <w:r w:rsidR="00815549" w:rsidRPr="00B41C49">
        <w:rPr>
          <w:rFonts w:ascii="Times New Roman" w:hAnsi="Times New Roman" w:cs="Times New Roman"/>
          <w:sz w:val="24"/>
          <w:szCs w:val="24"/>
        </w:rPr>
        <w:t>401 Mass. 144, 149 (1987).</w:t>
      </w:r>
      <w:r w:rsidR="00EC7496" w:rsidRPr="00B41C49">
        <w:rPr>
          <w:rFonts w:ascii="Times New Roman" w:hAnsi="Times New Roman" w:cs="Times New Roman"/>
          <w:sz w:val="24"/>
          <w:szCs w:val="24"/>
        </w:rPr>
        <w:t xml:space="preserve"> </w:t>
      </w:r>
    </w:p>
    <w:p w14:paraId="3827F7BA" w14:textId="4FDD9526" w:rsidR="00880CEB" w:rsidRPr="00240082" w:rsidRDefault="00240082" w:rsidP="00404AA1">
      <w:pPr>
        <w:pStyle w:val="NoSpacing"/>
        <w:numPr>
          <w:ilvl w:val="0"/>
          <w:numId w:val="3"/>
        </w:numPr>
        <w:spacing w:line="480" w:lineRule="auto"/>
        <w:rPr>
          <w:rFonts w:ascii="Times New Roman" w:hAnsi="Times New Roman" w:cs="Times New Roman"/>
          <w:sz w:val="24"/>
          <w:szCs w:val="24"/>
        </w:rPr>
      </w:pPr>
      <w:r w:rsidRPr="00240082">
        <w:rPr>
          <w:rFonts w:ascii="Times New Roman" w:hAnsi="Times New Roman" w:cs="Times New Roman"/>
          <w:b/>
          <w:sz w:val="24"/>
          <w:szCs w:val="24"/>
        </w:rPr>
        <w:t xml:space="preserve">Failure to Prepare for Trial in General </w:t>
      </w:r>
    </w:p>
    <w:p w14:paraId="6B9F6E70" w14:textId="7C47596E" w:rsidR="00240082" w:rsidRDefault="00240082" w:rsidP="00E51BC6">
      <w:pPr>
        <w:pStyle w:val="NoSpacing"/>
        <w:spacing w:line="480" w:lineRule="auto"/>
        <w:ind w:firstLine="720"/>
        <w:jc w:val="both"/>
        <w:rPr>
          <w:rFonts w:ascii="Times New Roman" w:hAnsi="Times New Roman" w:cs="Times New Roman"/>
          <w:i/>
          <w:iCs/>
          <w:sz w:val="24"/>
          <w:szCs w:val="24"/>
        </w:rPr>
      </w:pPr>
      <w:r w:rsidRPr="007579B6">
        <w:rPr>
          <w:rFonts w:ascii="Times New Roman" w:hAnsi="Times New Roman" w:cs="Times New Roman"/>
          <w:sz w:val="24"/>
          <w:szCs w:val="24"/>
        </w:rPr>
        <w:t xml:space="preserve">In </w:t>
      </w:r>
      <w:r w:rsidRPr="007579B6">
        <w:rPr>
          <w:rFonts w:ascii="Times New Roman" w:hAnsi="Times New Roman" w:cs="Times New Roman"/>
          <w:i/>
          <w:iCs/>
          <w:sz w:val="24"/>
          <w:szCs w:val="24"/>
        </w:rPr>
        <w:t xml:space="preserve">Commonwealth v. Farley, </w:t>
      </w:r>
      <w:r w:rsidRPr="007579B6">
        <w:rPr>
          <w:rFonts w:ascii="Times New Roman" w:hAnsi="Times New Roman" w:cs="Times New Roman"/>
          <w:sz w:val="24"/>
          <w:szCs w:val="24"/>
        </w:rPr>
        <w:t>the defendant was convicted of first-degree murder in Norfolk County, and her subsequent motion for a new trial was denied. 432 Mass.</w:t>
      </w:r>
      <w:r w:rsidR="007579B6">
        <w:rPr>
          <w:rFonts w:ascii="Times New Roman" w:hAnsi="Times New Roman" w:cs="Times New Roman"/>
          <w:sz w:val="24"/>
          <w:szCs w:val="24"/>
        </w:rPr>
        <w:t xml:space="preserve"> </w:t>
      </w:r>
      <w:r w:rsidRPr="007579B6">
        <w:rPr>
          <w:rFonts w:ascii="Times New Roman" w:hAnsi="Times New Roman" w:cs="Times New Roman"/>
          <w:sz w:val="24"/>
          <w:szCs w:val="24"/>
        </w:rPr>
        <w:t xml:space="preserve">153 (2000). </w:t>
      </w:r>
      <w:r w:rsidR="00DC380C" w:rsidRPr="007579B6">
        <w:rPr>
          <w:rFonts w:ascii="Times New Roman" w:hAnsi="Times New Roman" w:cs="Times New Roman"/>
          <w:sz w:val="24"/>
          <w:szCs w:val="24"/>
        </w:rPr>
        <w:t xml:space="preserve">The defendant appealed and the conviction was reversed; the Supreme Judicial Court of Massachusetts </w:t>
      </w:r>
      <w:r w:rsidR="00E51BC6">
        <w:rPr>
          <w:rFonts w:ascii="Times New Roman" w:hAnsi="Times New Roman" w:cs="Times New Roman"/>
          <w:sz w:val="24"/>
          <w:szCs w:val="24"/>
        </w:rPr>
        <w:t xml:space="preserve">(SJC) </w:t>
      </w:r>
      <w:r w:rsidR="00DC380C" w:rsidRPr="007579B6">
        <w:rPr>
          <w:rFonts w:ascii="Times New Roman" w:hAnsi="Times New Roman" w:cs="Times New Roman"/>
          <w:sz w:val="24"/>
          <w:szCs w:val="24"/>
        </w:rPr>
        <w:t>held that the defendant was denied effective assistance of counsel at trial because defense counsel failed to investigate an alternate theory, and</w:t>
      </w:r>
      <w:r w:rsidR="009C0E33">
        <w:rPr>
          <w:rFonts w:ascii="Times New Roman" w:hAnsi="Times New Roman" w:cs="Times New Roman"/>
          <w:sz w:val="24"/>
          <w:szCs w:val="24"/>
        </w:rPr>
        <w:t xml:space="preserve"> the defendant</w:t>
      </w:r>
      <w:r w:rsidR="00DC380C" w:rsidRPr="007579B6">
        <w:rPr>
          <w:rFonts w:ascii="Times New Roman" w:hAnsi="Times New Roman" w:cs="Times New Roman"/>
          <w:sz w:val="24"/>
          <w:szCs w:val="24"/>
        </w:rPr>
        <w:t xml:space="preserve"> is therefore “entitled” to a new trial. </w:t>
      </w:r>
      <w:r w:rsidR="00DC380C" w:rsidRPr="007579B6">
        <w:rPr>
          <w:rFonts w:ascii="Times New Roman" w:hAnsi="Times New Roman" w:cs="Times New Roman"/>
          <w:i/>
          <w:iCs/>
          <w:sz w:val="24"/>
          <w:szCs w:val="24"/>
        </w:rPr>
        <w:t xml:space="preserve">Id. </w:t>
      </w:r>
    </w:p>
    <w:p w14:paraId="3788B889" w14:textId="1CF41C86" w:rsidR="008A3945" w:rsidRPr="00655A05" w:rsidRDefault="007579B6" w:rsidP="00655A05">
      <w:pPr>
        <w:pStyle w:val="NoSpacing"/>
        <w:spacing w:line="480" w:lineRule="auto"/>
        <w:jc w:val="both"/>
        <w:rPr>
          <w:rFonts w:ascii="Times New Roman" w:hAnsi="Times New Roman" w:cs="Times New Roman"/>
          <w:i/>
          <w:iCs/>
          <w:sz w:val="24"/>
          <w:szCs w:val="24"/>
        </w:rPr>
      </w:pPr>
      <w:r>
        <w:rPr>
          <w:rFonts w:ascii="Times New Roman" w:hAnsi="Times New Roman" w:cs="Times New Roman"/>
          <w:sz w:val="24"/>
          <w:szCs w:val="24"/>
        </w:rPr>
        <w:tab/>
      </w:r>
      <w:r w:rsidR="00C218F9">
        <w:rPr>
          <w:rFonts w:ascii="Times New Roman" w:hAnsi="Times New Roman" w:cs="Times New Roman"/>
          <w:sz w:val="24"/>
          <w:szCs w:val="24"/>
        </w:rPr>
        <w:t xml:space="preserve">The defendant </w:t>
      </w:r>
      <w:r w:rsidR="00BF1719">
        <w:rPr>
          <w:rFonts w:ascii="Times New Roman" w:hAnsi="Times New Roman" w:cs="Times New Roman"/>
          <w:sz w:val="24"/>
          <w:szCs w:val="24"/>
        </w:rPr>
        <w:t>told authorities that</w:t>
      </w:r>
      <w:r w:rsidR="00A06125">
        <w:rPr>
          <w:rFonts w:ascii="Times New Roman" w:hAnsi="Times New Roman" w:cs="Times New Roman"/>
          <w:sz w:val="24"/>
          <w:szCs w:val="24"/>
        </w:rPr>
        <w:t xml:space="preserve"> another person had been at the victim’s house, as she had been, the night of the murder. </w:t>
      </w:r>
      <w:r w:rsidR="00A06125">
        <w:rPr>
          <w:rFonts w:ascii="Times New Roman" w:hAnsi="Times New Roman" w:cs="Times New Roman"/>
          <w:i/>
          <w:iCs/>
          <w:sz w:val="24"/>
          <w:szCs w:val="24"/>
        </w:rPr>
        <w:t xml:space="preserve">Farley, </w:t>
      </w:r>
      <w:r w:rsidR="00A06125">
        <w:rPr>
          <w:rFonts w:ascii="Times New Roman" w:hAnsi="Times New Roman" w:cs="Times New Roman"/>
          <w:sz w:val="24"/>
          <w:szCs w:val="24"/>
        </w:rPr>
        <w:t xml:space="preserve">432 Mass. at 154. </w:t>
      </w:r>
      <w:r w:rsidR="008A3945">
        <w:rPr>
          <w:rFonts w:ascii="Times New Roman" w:hAnsi="Times New Roman" w:cs="Times New Roman"/>
          <w:sz w:val="24"/>
          <w:szCs w:val="24"/>
        </w:rPr>
        <w:t>The defendant said that the victim and</w:t>
      </w:r>
      <w:r w:rsidR="00A06125">
        <w:rPr>
          <w:rFonts w:ascii="Times New Roman" w:hAnsi="Times New Roman" w:cs="Times New Roman"/>
          <w:sz w:val="24"/>
          <w:szCs w:val="24"/>
        </w:rPr>
        <w:t xml:space="preserve"> third party </w:t>
      </w:r>
      <w:r w:rsidR="008A3945">
        <w:rPr>
          <w:rFonts w:ascii="Times New Roman" w:hAnsi="Times New Roman" w:cs="Times New Roman"/>
          <w:sz w:val="24"/>
          <w:szCs w:val="24"/>
        </w:rPr>
        <w:t>had argued</w:t>
      </w:r>
      <w:r w:rsidR="00A06125">
        <w:rPr>
          <w:rFonts w:ascii="Times New Roman" w:hAnsi="Times New Roman" w:cs="Times New Roman"/>
          <w:sz w:val="24"/>
          <w:szCs w:val="24"/>
        </w:rPr>
        <w:t xml:space="preserve">, </w:t>
      </w:r>
      <w:r w:rsidR="008A3945">
        <w:rPr>
          <w:rFonts w:ascii="Times New Roman" w:hAnsi="Times New Roman" w:cs="Times New Roman"/>
          <w:sz w:val="24"/>
          <w:szCs w:val="24"/>
        </w:rPr>
        <w:t>and</w:t>
      </w:r>
      <w:r w:rsidR="00A06125">
        <w:rPr>
          <w:rFonts w:ascii="Times New Roman" w:hAnsi="Times New Roman" w:cs="Times New Roman"/>
          <w:sz w:val="24"/>
          <w:szCs w:val="24"/>
        </w:rPr>
        <w:t xml:space="preserve"> they were both at the residence when she left. </w:t>
      </w:r>
      <w:r w:rsidR="008A3945">
        <w:rPr>
          <w:rFonts w:ascii="Times New Roman" w:hAnsi="Times New Roman" w:cs="Times New Roman"/>
          <w:i/>
          <w:iCs/>
          <w:sz w:val="24"/>
          <w:szCs w:val="24"/>
        </w:rPr>
        <w:t xml:space="preserve">Id. </w:t>
      </w:r>
      <w:r w:rsidR="008A3945">
        <w:rPr>
          <w:rFonts w:ascii="Times New Roman" w:hAnsi="Times New Roman" w:cs="Times New Roman"/>
          <w:sz w:val="24"/>
          <w:szCs w:val="24"/>
        </w:rPr>
        <w:t xml:space="preserve">Trial counsel learned of this information from the defendant and hired an investigator to track down </w:t>
      </w:r>
      <w:r w:rsidR="00A06125">
        <w:rPr>
          <w:rFonts w:ascii="Times New Roman" w:hAnsi="Times New Roman" w:cs="Times New Roman"/>
          <w:sz w:val="24"/>
          <w:szCs w:val="24"/>
        </w:rPr>
        <w:t>the third party, Rafael</w:t>
      </w:r>
      <w:r w:rsidR="008A3945">
        <w:rPr>
          <w:rFonts w:ascii="Times New Roman" w:hAnsi="Times New Roman" w:cs="Times New Roman"/>
          <w:sz w:val="24"/>
          <w:szCs w:val="24"/>
        </w:rPr>
        <w:t xml:space="preserve">. </w:t>
      </w:r>
      <w:r w:rsidR="008A3945">
        <w:rPr>
          <w:rFonts w:ascii="Times New Roman" w:hAnsi="Times New Roman" w:cs="Times New Roman"/>
          <w:i/>
          <w:iCs/>
          <w:sz w:val="24"/>
          <w:szCs w:val="24"/>
        </w:rPr>
        <w:t xml:space="preserve">Id. </w:t>
      </w:r>
      <w:r w:rsidR="008A3945">
        <w:rPr>
          <w:rFonts w:ascii="Times New Roman" w:hAnsi="Times New Roman" w:cs="Times New Roman"/>
          <w:sz w:val="24"/>
          <w:szCs w:val="24"/>
        </w:rPr>
        <w:t xml:space="preserve">Important on appeal, trial counsel “learned of Rafael’s location several weeks before trial.” </w:t>
      </w:r>
      <w:r w:rsidR="008A3945">
        <w:rPr>
          <w:rFonts w:ascii="Times New Roman" w:hAnsi="Times New Roman" w:cs="Times New Roman"/>
          <w:i/>
          <w:iCs/>
          <w:sz w:val="24"/>
          <w:szCs w:val="24"/>
        </w:rPr>
        <w:t xml:space="preserve">Id. </w:t>
      </w:r>
      <w:r w:rsidR="008A3945">
        <w:rPr>
          <w:rFonts w:ascii="Times New Roman" w:hAnsi="Times New Roman" w:cs="Times New Roman"/>
          <w:sz w:val="24"/>
          <w:szCs w:val="24"/>
        </w:rPr>
        <w:t xml:space="preserve">Despite handing over Rafael’s location to the Commonwealth, trial counsel “failed to interview Rafael at any point before trial” or investigate the alternate lead any further. </w:t>
      </w:r>
      <w:r w:rsidR="008A3945">
        <w:rPr>
          <w:rFonts w:ascii="Times New Roman" w:hAnsi="Times New Roman" w:cs="Times New Roman"/>
          <w:i/>
          <w:iCs/>
          <w:sz w:val="24"/>
          <w:szCs w:val="24"/>
        </w:rPr>
        <w:t xml:space="preserve">Id. </w:t>
      </w:r>
      <w:r w:rsidR="008A3945">
        <w:rPr>
          <w:rFonts w:ascii="Times New Roman" w:hAnsi="Times New Roman" w:cs="Times New Roman"/>
          <w:sz w:val="24"/>
          <w:szCs w:val="24"/>
        </w:rPr>
        <w:t xml:space="preserve">The prosecution was able to call Rafael to their advantage, while defense counsel did not communicate with </w:t>
      </w:r>
      <w:r w:rsidR="00E51BC6">
        <w:rPr>
          <w:rFonts w:ascii="Times New Roman" w:hAnsi="Times New Roman" w:cs="Times New Roman"/>
          <w:sz w:val="24"/>
          <w:szCs w:val="24"/>
        </w:rPr>
        <w:t xml:space="preserve">Rafael </w:t>
      </w:r>
      <w:r w:rsidR="008A3945">
        <w:rPr>
          <w:rFonts w:ascii="Times New Roman" w:hAnsi="Times New Roman" w:cs="Times New Roman"/>
          <w:sz w:val="24"/>
          <w:szCs w:val="24"/>
        </w:rPr>
        <w:t xml:space="preserve">or check on his denial of the defendant’s version of events. </w:t>
      </w:r>
      <w:r w:rsidR="008A3945">
        <w:rPr>
          <w:rFonts w:ascii="Times New Roman" w:hAnsi="Times New Roman" w:cs="Times New Roman"/>
          <w:i/>
          <w:iCs/>
          <w:sz w:val="24"/>
          <w:szCs w:val="24"/>
        </w:rPr>
        <w:t xml:space="preserve">Farley, </w:t>
      </w:r>
      <w:r w:rsidR="008A3945">
        <w:rPr>
          <w:rFonts w:ascii="Times New Roman" w:hAnsi="Times New Roman" w:cs="Times New Roman"/>
          <w:sz w:val="24"/>
          <w:szCs w:val="24"/>
        </w:rPr>
        <w:t xml:space="preserve">432 Mass. at 155. </w:t>
      </w:r>
    </w:p>
    <w:p w14:paraId="4FBF440F" w14:textId="0AD9A02D" w:rsidR="00B41C49" w:rsidRPr="00FB6A14" w:rsidRDefault="00E51BC6" w:rsidP="00AE1AB0">
      <w:pPr>
        <w:pStyle w:val="NoSpacing"/>
        <w:spacing w:line="480" w:lineRule="auto"/>
        <w:ind w:firstLine="720"/>
        <w:jc w:val="both"/>
        <w:rPr>
          <w:rFonts w:ascii="Times New Roman" w:hAnsi="Times New Roman" w:cs="Times New Roman"/>
          <w:sz w:val="24"/>
          <w:szCs w:val="24"/>
        </w:rPr>
      </w:pPr>
      <w:r w:rsidRPr="00FB6A14">
        <w:rPr>
          <w:rFonts w:ascii="Times New Roman" w:hAnsi="Times New Roman" w:cs="Times New Roman"/>
          <w:sz w:val="24"/>
          <w:szCs w:val="24"/>
        </w:rPr>
        <w:t>On appeal, the SJC provided that</w:t>
      </w:r>
      <w:r w:rsidR="002E33CF" w:rsidRPr="00FB6A14">
        <w:rPr>
          <w:rFonts w:ascii="Times New Roman" w:hAnsi="Times New Roman" w:cs="Times New Roman"/>
          <w:sz w:val="24"/>
          <w:szCs w:val="24"/>
        </w:rPr>
        <w:t xml:space="preserve"> the</w:t>
      </w:r>
      <w:r w:rsidRPr="00FB6A14">
        <w:rPr>
          <w:rFonts w:ascii="Times New Roman" w:hAnsi="Times New Roman" w:cs="Times New Roman"/>
          <w:sz w:val="24"/>
          <w:szCs w:val="24"/>
        </w:rPr>
        <w:t xml:space="preserve"> </w:t>
      </w:r>
      <w:r w:rsidR="0058255A" w:rsidRPr="00FB6A14">
        <w:rPr>
          <w:rFonts w:ascii="Times New Roman" w:hAnsi="Times New Roman" w:cs="Times New Roman"/>
          <w:sz w:val="24"/>
          <w:szCs w:val="24"/>
        </w:rPr>
        <w:t xml:space="preserve">defense counsel failed to “develop [its] defense through evidence, cross-examination,” and so on. </w:t>
      </w:r>
      <w:r w:rsidR="0058255A" w:rsidRPr="00180637">
        <w:rPr>
          <w:rFonts w:ascii="Times New Roman" w:hAnsi="Times New Roman" w:cs="Times New Roman"/>
          <w:i/>
          <w:sz w:val="24"/>
          <w:szCs w:val="24"/>
        </w:rPr>
        <w:t>Farley</w:t>
      </w:r>
      <w:r w:rsidR="0058255A" w:rsidRPr="00FB6A14">
        <w:rPr>
          <w:rFonts w:ascii="Times New Roman" w:hAnsi="Times New Roman" w:cs="Times New Roman"/>
          <w:sz w:val="24"/>
          <w:szCs w:val="24"/>
        </w:rPr>
        <w:t xml:space="preserve">, 432 Mass. at 156. </w:t>
      </w:r>
      <w:r w:rsidR="00FB6A14" w:rsidRPr="00FB6A14">
        <w:rPr>
          <w:rFonts w:ascii="Times New Roman" w:hAnsi="Times New Roman" w:cs="Times New Roman"/>
          <w:sz w:val="24"/>
          <w:szCs w:val="24"/>
        </w:rPr>
        <w:t xml:space="preserve">This is distinguished from cases where the “tactical or strategic judgments” used are “called into question; this is a case where defense counsel did not make any of those judgments at all. </w:t>
      </w:r>
      <w:r w:rsidR="00FB6A14" w:rsidRPr="00A06125">
        <w:rPr>
          <w:rFonts w:ascii="Times New Roman" w:hAnsi="Times New Roman" w:cs="Times New Roman"/>
          <w:i/>
          <w:sz w:val="24"/>
          <w:szCs w:val="24"/>
        </w:rPr>
        <w:t>Farley</w:t>
      </w:r>
      <w:r w:rsidR="00FB6A14" w:rsidRPr="00FB6A14">
        <w:rPr>
          <w:rFonts w:ascii="Times New Roman" w:hAnsi="Times New Roman" w:cs="Times New Roman"/>
          <w:sz w:val="24"/>
          <w:szCs w:val="24"/>
        </w:rPr>
        <w:t xml:space="preserve">, 432 Mass. at 157. </w:t>
      </w:r>
      <w:r w:rsidR="0058255A" w:rsidRPr="00FB6A14">
        <w:rPr>
          <w:rFonts w:ascii="Times New Roman" w:hAnsi="Times New Roman" w:cs="Times New Roman"/>
          <w:sz w:val="24"/>
          <w:szCs w:val="24"/>
        </w:rPr>
        <w:t xml:space="preserve">Moreover, “better work might have accomplished something material for the defense” here, and failure to put in that work effectively left the defendant without counsel. </w:t>
      </w:r>
      <w:r w:rsidR="00FB6A14" w:rsidRPr="00A06125">
        <w:rPr>
          <w:rFonts w:ascii="Times New Roman" w:hAnsi="Times New Roman" w:cs="Times New Roman"/>
          <w:i/>
          <w:sz w:val="24"/>
          <w:szCs w:val="24"/>
        </w:rPr>
        <w:t>Farley</w:t>
      </w:r>
      <w:r w:rsidR="00FB6A14" w:rsidRPr="00FB6A14">
        <w:rPr>
          <w:rFonts w:ascii="Times New Roman" w:hAnsi="Times New Roman" w:cs="Times New Roman"/>
          <w:sz w:val="24"/>
          <w:szCs w:val="24"/>
        </w:rPr>
        <w:t>, 432 Mass. at 156.</w:t>
      </w:r>
      <w:r w:rsidR="0058255A" w:rsidRPr="00FB6A14">
        <w:rPr>
          <w:rFonts w:ascii="Times New Roman" w:hAnsi="Times New Roman" w:cs="Times New Roman"/>
          <w:sz w:val="24"/>
          <w:szCs w:val="24"/>
        </w:rPr>
        <w:t xml:space="preserve"> Reciting evidence is not enough; the defense counsel must “marshal the evidence favorable” to the defendant to create reasonable doubt required in zealous advocacy. Id. The SJC further reasoned that such reasonable doubt would have had a significant impact on jurors, so failing to create that doubt through counsel’s lack of preparation “denied [the defendant] a fair trial.” </w:t>
      </w:r>
      <w:r w:rsidR="0058255A" w:rsidRPr="00A06125">
        <w:rPr>
          <w:rFonts w:ascii="Times New Roman" w:hAnsi="Times New Roman" w:cs="Times New Roman"/>
          <w:i/>
          <w:sz w:val="24"/>
          <w:szCs w:val="24"/>
        </w:rPr>
        <w:t>Farley</w:t>
      </w:r>
      <w:r w:rsidR="0058255A" w:rsidRPr="00FB6A14">
        <w:rPr>
          <w:rFonts w:ascii="Times New Roman" w:hAnsi="Times New Roman" w:cs="Times New Roman"/>
          <w:sz w:val="24"/>
          <w:szCs w:val="24"/>
        </w:rPr>
        <w:t>, 432 Mass. at 157.</w:t>
      </w:r>
    </w:p>
    <w:p w14:paraId="6CAEB78E" w14:textId="4C6AC071" w:rsidR="00240082" w:rsidRDefault="00F11476" w:rsidP="00F11476">
      <w:pPr>
        <w:pStyle w:val="NoSpacing"/>
        <w:rPr>
          <w:b/>
          <w:bCs/>
        </w:rPr>
      </w:pPr>
      <w:r>
        <w:rPr>
          <w:rFonts w:ascii="Times New Roman" w:hAnsi="Times New Roman" w:cs="Times New Roman"/>
          <w:b/>
          <w:bCs/>
          <w:sz w:val="24"/>
          <w:szCs w:val="24"/>
        </w:rPr>
        <w:t xml:space="preserve">II. </w:t>
      </w:r>
      <w:r w:rsidR="00757B86">
        <w:rPr>
          <w:rFonts w:ascii="Times New Roman" w:hAnsi="Times New Roman" w:cs="Times New Roman"/>
          <w:b/>
          <w:bCs/>
          <w:sz w:val="24"/>
          <w:szCs w:val="24"/>
        </w:rPr>
        <w:tab/>
      </w:r>
      <w:r w:rsidR="00AE1AB0">
        <w:rPr>
          <w:rFonts w:ascii="Times New Roman" w:hAnsi="Times New Roman" w:cs="Times New Roman"/>
          <w:b/>
          <w:bCs/>
          <w:sz w:val="24"/>
          <w:szCs w:val="24"/>
        </w:rPr>
        <w:t>Where There was No Failure to Prepare</w:t>
      </w:r>
      <w:r w:rsidR="00757B86">
        <w:rPr>
          <w:rFonts w:ascii="Times New Roman" w:hAnsi="Times New Roman" w:cs="Times New Roman"/>
          <w:b/>
          <w:bCs/>
          <w:sz w:val="24"/>
          <w:szCs w:val="24"/>
        </w:rPr>
        <w:t xml:space="preserve"> </w:t>
      </w:r>
      <w:r w:rsidR="00AE1AB0">
        <w:rPr>
          <w:rFonts w:ascii="Times New Roman" w:hAnsi="Times New Roman" w:cs="Times New Roman"/>
          <w:b/>
          <w:bCs/>
          <w:sz w:val="24"/>
          <w:szCs w:val="24"/>
        </w:rPr>
        <w:t>or</w:t>
      </w:r>
      <w:r w:rsidR="00757B86">
        <w:rPr>
          <w:rFonts w:ascii="Times New Roman" w:hAnsi="Times New Roman" w:cs="Times New Roman"/>
          <w:b/>
          <w:bCs/>
          <w:sz w:val="24"/>
          <w:szCs w:val="24"/>
        </w:rPr>
        <w:t xml:space="preserve"> Due Process Violation</w:t>
      </w:r>
    </w:p>
    <w:p w14:paraId="20648930" w14:textId="41C6826D" w:rsidR="00FB6A14" w:rsidRDefault="00FB6A14" w:rsidP="00FB6A14">
      <w:pPr>
        <w:pStyle w:val="NoSpacing"/>
        <w:rPr>
          <w:b/>
          <w:bCs/>
        </w:rPr>
      </w:pPr>
    </w:p>
    <w:p w14:paraId="51D55E9F" w14:textId="22C0128B" w:rsidR="008A2490" w:rsidRPr="008A2490" w:rsidRDefault="00FB6A14" w:rsidP="003465C4">
      <w:pPr>
        <w:pStyle w:val="NoSpacing"/>
        <w:spacing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 xml:space="preserve">Commonwealth v. Alvarez, </w:t>
      </w:r>
      <w:r>
        <w:rPr>
          <w:rFonts w:ascii="Times New Roman" w:hAnsi="Times New Roman" w:cs="Times New Roman"/>
          <w:sz w:val="24"/>
          <w:szCs w:val="24"/>
        </w:rPr>
        <w:t>a jury in Hampden County convicted the defendant of murder in the second degree and assault and battery by means of a dangerous weapon. 62 Mass. App. Ct. 866 (2005). The defendant appealed</w:t>
      </w:r>
      <w:r w:rsidR="00F069FA">
        <w:rPr>
          <w:rFonts w:ascii="Times New Roman" w:hAnsi="Times New Roman" w:cs="Times New Roman"/>
          <w:sz w:val="24"/>
          <w:szCs w:val="24"/>
        </w:rPr>
        <w:t>, claiming that</w:t>
      </w:r>
      <w:r w:rsidR="00404AA1">
        <w:rPr>
          <w:rFonts w:ascii="Times New Roman" w:hAnsi="Times New Roman" w:cs="Times New Roman"/>
          <w:sz w:val="24"/>
          <w:szCs w:val="24"/>
        </w:rPr>
        <w:t xml:space="preserve"> defense counsel “failed to request a continuance, after making his first appearance on the defendant’s behalf,” </w:t>
      </w:r>
      <w:r w:rsidR="008A2490">
        <w:rPr>
          <w:rFonts w:ascii="Times New Roman" w:hAnsi="Times New Roman" w:cs="Times New Roman"/>
          <w:sz w:val="24"/>
          <w:szCs w:val="24"/>
        </w:rPr>
        <w:t>leaving</w:t>
      </w:r>
      <w:r w:rsidR="00404AA1">
        <w:rPr>
          <w:rFonts w:ascii="Times New Roman" w:hAnsi="Times New Roman" w:cs="Times New Roman"/>
          <w:sz w:val="24"/>
          <w:szCs w:val="24"/>
        </w:rPr>
        <w:t xml:space="preserve"> only ten days to prepare for the murder trial. </w:t>
      </w:r>
      <w:r w:rsidR="00404AA1">
        <w:rPr>
          <w:rFonts w:ascii="Times New Roman" w:hAnsi="Times New Roman" w:cs="Times New Roman"/>
          <w:i/>
          <w:iCs/>
          <w:sz w:val="24"/>
          <w:szCs w:val="24"/>
        </w:rPr>
        <w:t xml:space="preserve">Id. </w:t>
      </w:r>
      <w:r w:rsidR="00F11476">
        <w:rPr>
          <w:rFonts w:ascii="Times New Roman" w:hAnsi="Times New Roman" w:cs="Times New Roman"/>
          <w:sz w:val="24"/>
          <w:szCs w:val="24"/>
        </w:rPr>
        <w:t>The appeals court disagreed that this prejudiced the defendant</w:t>
      </w:r>
      <w:r w:rsidR="00BB13E5">
        <w:rPr>
          <w:rFonts w:ascii="Times New Roman" w:hAnsi="Times New Roman" w:cs="Times New Roman"/>
          <w:sz w:val="24"/>
          <w:szCs w:val="24"/>
        </w:rPr>
        <w:t xml:space="preserve"> or violated his due process rights; the conviction was</w:t>
      </w:r>
      <w:r w:rsidR="00F11476">
        <w:rPr>
          <w:rFonts w:ascii="Times New Roman" w:hAnsi="Times New Roman" w:cs="Times New Roman"/>
          <w:sz w:val="24"/>
          <w:szCs w:val="24"/>
        </w:rPr>
        <w:t xml:space="preserve"> affirmed. </w:t>
      </w:r>
      <w:r w:rsidR="008A2490">
        <w:rPr>
          <w:rFonts w:ascii="Times New Roman" w:hAnsi="Times New Roman" w:cs="Times New Roman"/>
          <w:i/>
          <w:iCs/>
          <w:sz w:val="24"/>
          <w:szCs w:val="24"/>
        </w:rPr>
        <w:t>Id.</w:t>
      </w:r>
    </w:p>
    <w:p w14:paraId="5D4074E1" w14:textId="6BB0DC7C" w:rsidR="00404AA1" w:rsidRDefault="004361D0" w:rsidP="004C76A7">
      <w:pPr>
        <w:pStyle w:val="NoSpacing"/>
        <w:spacing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In advance of trial, the defendant “filed a demand for a speedy trial pursuant to the Interstate Agreement on Detainers, which requires that [the defendant] be brought to trial within 180 days.” </w:t>
      </w:r>
      <w:r>
        <w:rPr>
          <w:rFonts w:ascii="Times New Roman" w:hAnsi="Times New Roman" w:cs="Times New Roman"/>
          <w:i/>
          <w:iCs/>
          <w:sz w:val="24"/>
          <w:szCs w:val="24"/>
        </w:rPr>
        <w:t xml:space="preserve">Id. </w:t>
      </w:r>
      <w:r w:rsidR="00AE1AB0">
        <w:rPr>
          <w:rFonts w:ascii="Times New Roman" w:hAnsi="Times New Roman" w:cs="Times New Roman"/>
          <w:sz w:val="24"/>
          <w:szCs w:val="24"/>
        </w:rPr>
        <w:t>I</w:t>
      </w:r>
      <w:r>
        <w:rPr>
          <w:rFonts w:ascii="Times New Roman" w:hAnsi="Times New Roman" w:cs="Times New Roman"/>
          <w:sz w:val="24"/>
          <w:szCs w:val="24"/>
        </w:rPr>
        <w:t xml:space="preserve">n concern of the demand for a speedy trial, the State requested a trial date “only ten days after arraignment.” </w:t>
      </w:r>
      <w:r>
        <w:rPr>
          <w:rFonts w:ascii="Times New Roman" w:hAnsi="Times New Roman" w:cs="Times New Roman"/>
          <w:i/>
          <w:iCs/>
          <w:sz w:val="24"/>
          <w:szCs w:val="24"/>
        </w:rPr>
        <w:t xml:space="preserve">Id. </w:t>
      </w:r>
      <w:r w:rsidR="003465C4" w:rsidRPr="00EC7496">
        <w:rPr>
          <w:rFonts w:ascii="Times New Roman" w:hAnsi="Times New Roman" w:cs="Times New Roman"/>
          <w:sz w:val="24"/>
          <w:szCs w:val="24"/>
        </w:rPr>
        <w:t xml:space="preserve">Importantly, when the defendant and </w:t>
      </w:r>
      <w:r w:rsidR="00EC7496" w:rsidRPr="00EC7496">
        <w:rPr>
          <w:rFonts w:ascii="Times New Roman" w:hAnsi="Times New Roman" w:cs="Times New Roman"/>
          <w:sz w:val="24"/>
          <w:szCs w:val="24"/>
        </w:rPr>
        <w:t>his</w:t>
      </w:r>
      <w:r w:rsidR="003465C4" w:rsidRPr="00EC7496">
        <w:rPr>
          <w:rFonts w:ascii="Times New Roman" w:hAnsi="Times New Roman" w:cs="Times New Roman"/>
          <w:sz w:val="24"/>
          <w:szCs w:val="24"/>
        </w:rPr>
        <w:t xml:space="preserve"> counsel appeared at the pretrial conference, </w:t>
      </w:r>
      <w:r w:rsidR="00EC7496">
        <w:rPr>
          <w:rFonts w:ascii="Times New Roman" w:hAnsi="Times New Roman" w:cs="Times New Roman"/>
          <w:sz w:val="24"/>
          <w:szCs w:val="24"/>
        </w:rPr>
        <w:t>“</w:t>
      </w:r>
      <w:r w:rsidR="00EC7496" w:rsidRPr="00EC7496">
        <w:rPr>
          <w:rFonts w:ascii="Times New Roman" w:hAnsi="Times New Roman" w:cs="Times New Roman"/>
          <w:sz w:val="24"/>
          <w:szCs w:val="24"/>
          <w:shd w:val="clear" w:color="auto" w:fill="FFFFFF"/>
        </w:rPr>
        <w:t>the defendant and his attorney willingly acceded to the trial date requested by the Commonwealth</w:t>
      </w:r>
      <w:r w:rsidR="00EC7496">
        <w:rPr>
          <w:rFonts w:ascii="Times New Roman" w:hAnsi="Times New Roman" w:cs="Times New Roman"/>
          <w:sz w:val="24"/>
          <w:szCs w:val="24"/>
          <w:shd w:val="clear" w:color="auto" w:fill="FFFFFF"/>
        </w:rPr>
        <w:t xml:space="preserve">.” </w:t>
      </w:r>
      <w:r w:rsidR="00EC7496">
        <w:rPr>
          <w:rFonts w:ascii="Times New Roman" w:hAnsi="Times New Roman" w:cs="Times New Roman"/>
          <w:i/>
          <w:iCs/>
          <w:sz w:val="24"/>
          <w:szCs w:val="24"/>
          <w:shd w:val="clear" w:color="auto" w:fill="FFFFFF"/>
        </w:rPr>
        <w:t xml:space="preserve">Alvarez, </w:t>
      </w:r>
      <w:r w:rsidR="00EC7496">
        <w:rPr>
          <w:rFonts w:ascii="Times New Roman" w:hAnsi="Times New Roman" w:cs="Times New Roman"/>
          <w:sz w:val="24"/>
          <w:szCs w:val="24"/>
        </w:rPr>
        <w:t xml:space="preserve">62 Mass. App. Ct. at 868. The judge asked the defendant questions about the timing separately and indicated that if there was a request for continuance, it would likely be granted; “[t]he offer was refused” by the defendant. </w:t>
      </w:r>
      <w:r w:rsidR="00EC7496">
        <w:rPr>
          <w:rFonts w:ascii="Times New Roman" w:hAnsi="Times New Roman" w:cs="Times New Roman"/>
          <w:i/>
          <w:iCs/>
          <w:sz w:val="24"/>
          <w:szCs w:val="24"/>
        </w:rPr>
        <w:t>Id.</w:t>
      </w:r>
    </w:p>
    <w:p w14:paraId="615313AA" w14:textId="0F0DE546" w:rsidR="004F6073" w:rsidRPr="00145725" w:rsidRDefault="004F6073" w:rsidP="001343F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appeal, the court looked to the standard of review set by </w:t>
      </w:r>
      <w:r>
        <w:rPr>
          <w:rFonts w:ascii="Times New Roman" w:hAnsi="Times New Roman" w:cs="Times New Roman"/>
          <w:i/>
          <w:iCs/>
          <w:sz w:val="24"/>
          <w:szCs w:val="24"/>
        </w:rPr>
        <w:t>Commonwealth v. Saferian:</w:t>
      </w:r>
      <w:r>
        <w:rPr>
          <w:rFonts w:ascii="Times New Roman" w:hAnsi="Times New Roman" w:cs="Times New Roman"/>
          <w:sz w:val="24"/>
          <w:szCs w:val="24"/>
        </w:rPr>
        <w:t xml:space="preserve"> In determining whether there was ineffective assistance of counsel, the court will ask </w:t>
      </w:r>
      <w:r w:rsidR="004C76A7" w:rsidRPr="004C76A7">
        <w:rPr>
          <w:rFonts w:ascii="Times New Roman" w:hAnsi="Times New Roman" w:cs="Times New Roman"/>
          <w:sz w:val="24"/>
          <w:szCs w:val="24"/>
          <w:shd w:val="clear" w:color="auto" w:fill="FFFFFF"/>
        </w:rPr>
        <w:t>“whether there has been serious incompetency, inefficiency, or inattention of counsel—behavior of counsel falling measurably below that which might be expected from an ordinary fallible lawyer—and, if that is found, then, typically, whether it has likely deprived the defendant of an otherwise available, substantial ground of defen</w:t>
      </w:r>
      <w:r w:rsidR="004C76A7">
        <w:rPr>
          <w:rFonts w:ascii="Times New Roman" w:hAnsi="Times New Roman" w:cs="Times New Roman"/>
          <w:sz w:val="24"/>
          <w:szCs w:val="24"/>
          <w:shd w:val="clear" w:color="auto" w:fill="FFFFFF"/>
        </w:rPr>
        <w:t>[s]</w:t>
      </w:r>
      <w:r w:rsidR="004C76A7" w:rsidRPr="004C76A7">
        <w:rPr>
          <w:rFonts w:ascii="Times New Roman" w:hAnsi="Times New Roman" w:cs="Times New Roman"/>
          <w:sz w:val="24"/>
          <w:szCs w:val="24"/>
          <w:shd w:val="clear" w:color="auto" w:fill="FFFFFF"/>
        </w:rPr>
        <w:t>e.”</w:t>
      </w:r>
      <w:r w:rsidR="004C76A7">
        <w:rPr>
          <w:rFonts w:ascii="Times New Roman" w:hAnsi="Times New Roman" w:cs="Times New Roman"/>
          <w:sz w:val="24"/>
          <w:szCs w:val="24"/>
          <w:shd w:val="clear" w:color="auto" w:fill="FFFFFF"/>
        </w:rPr>
        <w:t xml:space="preserve"> 366 Mass. at 96. Moreover, there usually </w:t>
      </w:r>
      <w:r w:rsidR="00C33CBB">
        <w:rPr>
          <w:rFonts w:ascii="Times New Roman" w:hAnsi="Times New Roman" w:cs="Times New Roman"/>
          <w:sz w:val="24"/>
          <w:szCs w:val="24"/>
          <w:shd w:val="clear" w:color="auto" w:fill="FFFFFF"/>
        </w:rPr>
        <w:t>must be a demonstration</w:t>
      </w:r>
      <w:r w:rsidR="004C76A7">
        <w:rPr>
          <w:rFonts w:ascii="Times New Roman" w:hAnsi="Times New Roman" w:cs="Times New Roman"/>
          <w:sz w:val="24"/>
          <w:szCs w:val="24"/>
          <w:shd w:val="clear" w:color="auto" w:fill="FFFFFF"/>
        </w:rPr>
        <w:t xml:space="preserve"> that prejudice resulted from the assistance of counsel. </w:t>
      </w:r>
      <w:r w:rsidR="00C33CBB">
        <w:rPr>
          <w:rFonts w:ascii="Times New Roman" w:hAnsi="Times New Roman" w:cs="Times New Roman"/>
          <w:i/>
          <w:iCs/>
          <w:sz w:val="24"/>
          <w:szCs w:val="24"/>
          <w:shd w:val="clear" w:color="auto" w:fill="FFFFFF"/>
        </w:rPr>
        <w:t xml:space="preserve">Com v. Rondeau, </w:t>
      </w:r>
      <w:r w:rsidR="00C33CBB">
        <w:rPr>
          <w:rFonts w:ascii="Times New Roman" w:hAnsi="Times New Roman" w:cs="Times New Roman"/>
          <w:sz w:val="24"/>
          <w:szCs w:val="24"/>
          <w:shd w:val="clear" w:color="auto" w:fill="FFFFFF"/>
        </w:rPr>
        <w:t>378 Mass. at 412. The defendant here was unable to demonstrate that</w:t>
      </w:r>
      <w:r w:rsidR="009E6DFD">
        <w:rPr>
          <w:rFonts w:ascii="Times New Roman" w:hAnsi="Times New Roman" w:cs="Times New Roman"/>
          <w:sz w:val="24"/>
          <w:szCs w:val="24"/>
          <w:shd w:val="clear" w:color="auto" w:fill="FFFFFF"/>
        </w:rPr>
        <w:t xml:space="preserve"> his counsel’s actions led to</w:t>
      </w:r>
      <w:r w:rsidR="00C33CBB">
        <w:rPr>
          <w:rFonts w:ascii="Times New Roman" w:hAnsi="Times New Roman" w:cs="Times New Roman"/>
          <w:sz w:val="24"/>
          <w:szCs w:val="24"/>
          <w:shd w:val="clear" w:color="auto" w:fill="FFFFFF"/>
        </w:rPr>
        <w:t xml:space="preserve"> any prejudice </w:t>
      </w:r>
      <w:r w:rsidR="009E6DFD">
        <w:rPr>
          <w:rFonts w:ascii="Times New Roman" w:hAnsi="Times New Roman" w:cs="Times New Roman"/>
          <w:sz w:val="24"/>
          <w:szCs w:val="24"/>
          <w:shd w:val="clear" w:color="auto" w:fill="FFFFFF"/>
        </w:rPr>
        <w:t xml:space="preserve">at trial. </w:t>
      </w:r>
      <w:r w:rsidR="009E6DFD">
        <w:rPr>
          <w:rFonts w:ascii="Times New Roman" w:hAnsi="Times New Roman" w:cs="Times New Roman"/>
          <w:i/>
          <w:iCs/>
          <w:sz w:val="24"/>
          <w:szCs w:val="24"/>
          <w:shd w:val="clear" w:color="auto" w:fill="FFFFFF"/>
        </w:rPr>
        <w:t xml:space="preserve">Alvarez, </w:t>
      </w:r>
      <w:r w:rsidR="009E6DFD">
        <w:rPr>
          <w:rFonts w:ascii="Times New Roman" w:hAnsi="Times New Roman" w:cs="Times New Roman"/>
          <w:sz w:val="24"/>
          <w:szCs w:val="24"/>
        </w:rPr>
        <w:t xml:space="preserve">62 Mass. App. Ct. at 869. Furthermore, the defendant failed to demonstrate “a single instance of how additional time and preparation would have benefitted his cause.” </w:t>
      </w:r>
      <w:r w:rsidR="009E6DFD">
        <w:rPr>
          <w:rFonts w:ascii="Times New Roman" w:hAnsi="Times New Roman" w:cs="Times New Roman"/>
          <w:i/>
          <w:iCs/>
          <w:sz w:val="24"/>
          <w:szCs w:val="24"/>
        </w:rPr>
        <w:t>Id.</w:t>
      </w:r>
      <w:r w:rsidR="009E6DFD">
        <w:rPr>
          <w:rFonts w:ascii="Times New Roman" w:hAnsi="Times New Roman" w:cs="Times New Roman"/>
          <w:sz w:val="24"/>
          <w:szCs w:val="24"/>
        </w:rPr>
        <w:t xml:space="preserve"> Without any affidavits from witnesses, the judge could not determine whether the witnesses’ testimony would have “made a material difference” to the jury if the time and opportunity for these witnesses was available. </w:t>
      </w:r>
      <w:r w:rsidR="009E6DFD">
        <w:rPr>
          <w:rFonts w:ascii="Times New Roman" w:hAnsi="Times New Roman" w:cs="Times New Roman"/>
          <w:i/>
          <w:iCs/>
          <w:sz w:val="24"/>
          <w:szCs w:val="24"/>
        </w:rPr>
        <w:t xml:space="preserve">Id. </w:t>
      </w:r>
      <w:r w:rsidR="009E6DFD">
        <w:rPr>
          <w:rFonts w:ascii="Times New Roman" w:hAnsi="Times New Roman" w:cs="Times New Roman"/>
          <w:sz w:val="24"/>
          <w:szCs w:val="24"/>
        </w:rPr>
        <w:t>The defendant</w:t>
      </w:r>
      <w:r w:rsidR="00C66121">
        <w:rPr>
          <w:rFonts w:ascii="Times New Roman" w:hAnsi="Times New Roman" w:cs="Times New Roman"/>
          <w:sz w:val="24"/>
          <w:szCs w:val="24"/>
        </w:rPr>
        <w:t xml:space="preserve"> then </w:t>
      </w:r>
      <w:r w:rsidR="009E6DFD">
        <w:rPr>
          <w:rFonts w:ascii="Times New Roman" w:hAnsi="Times New Roman" w:cs="Times New Roman"/>
          <w:sz w:val="24"/>
          <w:szCs w:val="24"/>
        </w:rPr>
        <w:t>argued for a</w:t>
      </w:r>
      <w:r w:rsidR="00C66121">
        <w:rPr>
          <w:rFonts w:ascii="Times New Roman" w:hAnsi="Times New Roman" w:cs="Times New Roman"/>
          <w:sz w:val="24"/>
          <w:szCs w:val="24"/>
        </w:rPr>
        <w:t xml:space="preserve"> narrow</w:t>
      </w:r>
      <w:r w:rsidR="009E6DFD">
        <w:rPr>
          <w:rFonts w:ascii="Times New Roman" w:hAnsi="Times New Roman" w:cs="Times New Roman"/>
          <w:sz w:val="24"/>
          <w:szCs w:val="24"/>
        </w:rPr>
        <w:t xml:space="preserve"> “new rule of law” that would presume prejudice if defense counsel fails to request a continuance </w:t>
      </w:r>
      <w:r w:rsidR="00C66121">
        <w:rPr>
          <w:rFonts w:ascii="Times New Roman" w:hAnsi="Times New Roman" w:cs="Times New Roman"/>
          <w:sz w:val="24"/>
          <w:szCs w:val="24"/>
        </w:rPr>
        <w:t xml:space="preserve">“when having only ten days to prepare for a murder trial,” but this argument was also rejected. </w:t>
      </w:r>
      <w:r w:rsidR="00145725">
        <w:rPr>
          <w:rFonts w:ascii="Times New Roman" w:hAnsi="Times New Roman" w:cs="Times New Roman"/>
          <w:sz w:val="24"/>
          <w:szCs w:val="24"/>
        </w:rPr>
        <w:t xml:space="preserve">Not only was defendant unable to show how he was prejudiced, but he had acquiesced to the very time period of preparation he was appealing: </w:t>
      </w:r>
      <w:r w:rsidR="00145725" w:rsidRPr="00145725">
        <w:rPr>
          <w:rFonts w:ascii="Times New Roman" w:hAnsi="Times New Roman" w:cs="Times New Roman"/>
          <w:sz w:val="24"/>
          <w:szCs w:val="24"/>
          <w:shd w:val="clear" w:color="auto" w:fill="FFFFFF"/>
        </w:rPr>
        <w:t>“[the defendant's] informed and voluntary agreement to proceed in accordance with trial counsel's recommendation further undermines (although does not preclude) his ability now to claim that counsel was ineffective for pursuing that strategy at trial.” </w:t>
      </w:r>
      <w:r w:rsidR="00145725">
        <w:rPr>
          <w:rFonts w:ascii="Times New Roman" w:hAnsi="Times New Roman" w:cs="Times New Roman"/>
          <w:i/>
          <w:iCs/>
          <w:sz w:val="24"/>
          <w:szCs w:val="24"/>
          <w:shd w:val="clear" w:color="auto" w:fill="FFFFFF"/>
        </w:rPr>
        <w:t xml:space="preserve">Alvarez, </w:t>
      </w:r>
      <w:r w:rsidR="00145725">
        <w:rPr>
          <w:rFonts w:ascii="Times New Roman" w:hAnsi="Times New Roman" w:cs="Times New Roman"/>
          <w:sz w:val="24"/>
          <w:szCs w:val="24"/>
        </w:rPr>
        <w:t>62 Mass. App. Ct. at 873.</w:t>
      </w:r>
    </w:p>
    <w:p w14:paraId="48640FFF" w14:textId="4229F1E9" w:rsidR="00FB6A14" w:rsidRPr="00B41C49" w:rsidRDefault="001343F3" w:rsidP="00B41C4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the opinion provided, “[d]eterminations of ineffectiveness should not be made according to a pre-established timeline, but rather on a case-by-case basis.”</w:t>
      </w:r>
      <w:r w:rsidRPr="004C76A7">
        <w:rPr>
          <w:rFonts w:ascii="Times New Roman" w:hAnsi="Times New Roman" w:cs="Times New Roman"/>
          <w:sz w:val="24"/>
          <w:szCs w:val="24"/>
        </w:rPr>
        <w:t xml:space="preserve"> </w:t>
      </w:r>
      <w:r>
        <w:rPr>
          <w:rFonts w:ascii="Times New Roman" w:hAnsi="Times New Roman" w:cs="Times New Roman"/>
          <w:i/>
          <w:iCs/>
          <w:sz w:val="24"/>
          <w:szCs w:val="24"/>
          <w:shd w:val="clear" w:color="auto" w:fill="FFFFFF"/>
        </w:rPr>
        <w:t xml:space="preserve">Alvarez, </w:t>
      </w:r>
      <w:r>
        <w:rPr>
          <w:rFonts w:ascii="Times New Roman" w:hAnsi="Times New Roman" w:cs="Times New Roman"/>
          <w:sz w:val="24"/>
          <w:szCs w:val="24"/>
        </w:rPr>
        <w:t xml:space="preserve">62 Mass. App. Ct. at 872. </w:t>
      </w:r>
      <w:r w:rsidR="003465C4" w:rsidRPr="004C76A7">
        <w:rPr>
          <w:rFonts w:ascii="Times New Roman" w:hAnsi="Times New Roman" w:cs="Times New Roman"/>
          <w:sz w:val="24"/>
          <w:szCs w:val="24"/>
        </w:rPr>
        <w:t xml:space="preserve">The combination of the defendant’s demand for a speedy trial, </w:t>
      </w:r>
      <w:r w:rsidR="00A455AD" w:rsidRPr="004C76A7">
        <w:rPr>
          <w:rFonts w:ascii="Times New Roman" w:hAnsi="Times New Roman" w:cs="Times New Roman"/>
          <w:sz w:val="24"/>
          <w:szCs w:val="24"/>
        </w:rPr>
        <w:t>his response</w:t>
      </w:r>
      <w:r w:rsidR="005C55E4" w:rsidRPr="004C76A7">
        <w:rPr>
          <w:rFonts w:ascii="Times New Roman" w:hAnsi="Times New Roman" w:cs="Times New Roman"/>
          <w:sz w:val="24"/>
          <w:szCs w:val="24"/>
        </w:rPr>
        <w:t>s</w:t>
      </w:r>
      <w:r w:rsidR="00A455AD" w:rsidRPr="004C76A7">
        <w:rPr>
          <w:rFonts w:ascii="Times New Roman" w:hAnsi="Times New Roman" w:cs="Times New Roman"/>
          <w:sz w:val="24"/>
          <w:szCs w:val="24"/>
        </w:rPr>
        <w:t xml:space="preserve"> to</w:t>
      </w:r>
      <w:r w:rsidR="003465C4" w:rsidRPr="004C76A7">
        <w:rPr>
          <w:rFonts w:ascii="Times New Roman" w:hAnsi="Times New Roman" w:cs="Times New Roman"/>
          <w:sz w:val="24"/>
          <w:szCs w:val="24"/>
        </w:rPr>
        <w:t xml:space="preserve"> questions from the judge, and his denial of a continuance at the pretrial conference </w:t>
      </w:r>
      <w:r>
        <w:rPr>
          <w:rFonts w:ascii="Times New Roman" w:hAnsi="Times New Roman" w:cs="Times New Roman"/>
          <w:sz w:val="24"/>
          <w:szCs w:val="24"/>
        </w:rPr>
        <w:t>led to the appeals court ruling. T</w:t>
      </w:r>
      <w:r w:rsidR="00A455AD" w:rsidRPr="004C76A7">
        <w:rPr>
          <w:rFonts w:ascii="Times New Roman" w:hAnsi="Times New Roman" w:cs="Times New Roman"/>
          <w:sz w:val="24"/>
          <w:szCs w:val="24"/>
        </w:rPr>
        <w:t xml:space="preserve">he </w:t>
      </w:r>
      <w:r w:rsidR="00757B86">
        <w:rPr>
          <w:rFonts w:ascii="Times New Roman" w:hAnsi="Times New Roman" w:cs="Times New Roman"/>
          <w:sz w:val="24"/>
          <w:szCs w:val="24"/>
        </w:rPr>
        <w:t>period of time</w:t>
      </w:r>
      <w:r w:rsidR="00A455AD" w:rsidRPr="004C76A7">
        <w:rPr>
          <w:rFonts w:ascii="Times New Roman" w:hAnsi="Times New Roman" w:cs="Times New Roman"/>
          <w:sz w:val="24"/>
          <w:szCs w:val="24"/>
        </w:rPr>
        <w:t xml:space="preserve"> between the first appearance and trial did not constitute</w:t>
      </w:r>
      <w:r w:rsidR="009E1400">
        <w:rPr>
          <w:rFonts w:ascii="Times New Roman" w:hAnsi="Times New Roman" w:cs="Times New Roman"/>
          <w:sz w:val="24"/>
          <w:szCs w:val="24"/>
        </w:rPr>
        <w:t xml:space="preserve"> ineffective assistance of counsel due to</w:t>
      </w:r>
      <w:r w:rsidR="00A455AD" w:rsidRPr="004C76A7">
        <w:rPr>
          <w:rFonts w:ascii="Times New Roman" w:hAnsi="Times New Roman" w:cs="Times New Roman"/>
          <w:sz w:val="24"/>
          <w:szCs w:val="24"/>
        </w:rPr>
        <w:t xml:space="preserve"> a failure to prepare for trial</w:t>
      </w:r>
      <w:r w:rsidR="00C33C15">
        <w:rPr>
          <w:rFonts w:ascii="Times New Roman" w:hAnsi="Times New Roman" w:cs="Times New Roman"/>
          <w:sz w:val="24"/>
          <w:szCs w:val="24"/>
        </w:rPr>
        <w:t xml:space="preserve">; the defendant’s due process rights were not denied. </w:t>
      </w:r>
    </w:p>
    <w:p w14:paraId="75BA7307" w14:textId="166F3181" w:rsidR="00D81FCD" w:rsidRDefault="00240082" w:rsidP="00240082">
      <w:pPr>
        <w:rPr>
          <w:rFonts w:ascii="Times New Roman" w:hAnsi="Times New Roman" w:cs="Times New Roman"/>
          <w:b/>
          <w:sz w:val="24"/>
          <w:szCs w:val="24"/>
        </w:rPr>
      </w:pPr>
      <w:r w:rsidRPr="00240082">
        <w:rPr>
          <w:rFonts w:ascii="Times New Roman" w:hAnsi="Times New Roman" w:cs="Times New Roman"/>
          <w:b/>
          <w:bCs/>
          <w:sz w:val="24"/>
          <w:szCs w:val="24"/>
        </w:rPr>
        <w:t xml:space="preserve">III. </w:t>
      </w:r>
      <w:r w:rsidR="00F11476">
        <w:rPr>
          <w:rFonts w:ascii="Times New Roman" w:hAnsi="Times New Roman" w:cs="Times New Roman"/>
          <w:b/>
          <w:bCs/>
          <w:sz w:val="24"/>
          <w:szCs w:val="24"/>
        </w:rPr>
        <w:tab/>
      </w:r>
      <w:r w:rsidR="00D81FCD" w:rsidRPr="00240082">
        <w:rPr>
          <w:rFonts w:ascii="Times New Roman" w:hAnsi="Times New Roman" w:cs="Times New Roman"/>
          <w:b/>
          <w:sz w:val="24"/>
          <w:szCs w:val="24"/>
        </w:rPr>
        <w:t xml:space="preserve">Failure to </w:t>
      </w:r>
      <w:r>
        <w:rPr>
          <w:rFonts w:ascii="Times New Roman" w:hAnsi="Times New Roman" w:cs="Times New Roman"/>
          <w:b/>
          <w:sz w:val="24"/>
          <w:szCs w:val="24"/>
        </w:rPr>
        <w:t>R</w:t>
      </w:r>
      <w:r w:rsidR="00D81FCD" w:rsidRPr="00240082">
        <w:rPr>
          <w:rFonts w:ascii="Times New Roman" w:hAnsi="Times New Roman" w:cs="Times New Roman"/>
          <w:b/>
          <w:sz w:val="24"/>
          <w:szCs w:val="24"/>
        </w:rPr>
        <w:t xml:space="preserve">eview and </w:t>
      </w:r>
      <w:r>
        <w:rPr>
          <w:rFonts w:ascii="Times New Roman" w:hAnsi="Times New Roman" w:cs="Times New Roman"/>
          <w:b/>
          <w:sz w:val="24"/>
          <w:szCs w:val="24"/>
        </w:rPr>
        <w:t>S</w:t>
      </w:r>
      <w:r w:rsidR="003268BC" w:rsidRPr="00240082">
        <w:rPr>
          <w:rFonts w:ascii="Times New Roman" w:hAnsi="Times New Roman" w:cs="Times New Roman"/>
          <w:b/>
          <w:sz w:val="24"/>
          <w:szCs w:val="24"/>
        </w:rPr>
        <w:t>ubpoena</w:t>
      </w:r>
      <w:r w:rsidR="00517337" w:rsidRPr="00240082">
        <w:rPr>
          <w:rFonts w:ascii="Times New Roman" w:hAnsi="Times New Roman" w:cs="Times New Roman"/>
          <w:b/>
          <w:sz w:val="24"/>
          <w:szCs w:val="24"/>
        </w:rPr>
        <w:t xml:space="preserve"> </w:t>
      </w:r>
      <w:r>
        <w:rPr>
          <w:rFonts w:ascii="Times New Roman" w:hAnsi="Times New Roman" w:cs="Times New Roman"/>
          <w:b/>
          <w:sz w:val="24"/>
          <w:szCs w:val="24"/>
        </w:rPr>
        <w:t>R</w:t>
      </w:r>
      <w:r w:rsidR="00D81FCD" w:rsidRPr="00240082">
        <w:rPr>
          <w:rFonts w:ascii="Times New Roman" w:hAnsi="Times New Roman" w:cs="Times New Roman"/>
          <w:b/>
          <w:sz w:val="24"/>
          <w:szCs w:val="24"/>
        </w:rPr>
        <w:t>ecords</w:t>
      </w:r>
    </w:p>
    <w:p w14:paraId="42CADFE7" w14:textId="3732C46E" w:rsidR="00145725" w:rsidRDefault="00145725" w:rsidP="004D5650">
      <w:pPr>
        <w:pStyle w:val="NoSpacing"/>
        <w:spacing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 xml:space="preserve">Commonwealth v. Ly, </w:t>
      </w:r>
      <w:r>
        <w:rPr>
          <w:rFonts w:ascii="Times New Roman" w:hAnsi="Times New Roman" w:cs="Times New Roman"/>
          <w:sz w:val="24"/>
          <w:szCs w:val="24"/>
        </w:rPr>
        <w:t xml:space="preserve">a jury in Bristol County convicted the defendant of “indecent assault and battery” on a “person over age 14.” 454 Mass. 223 (2009). The defendant made a motion for a new trial on the allegation of ineffective assistance of counsel, but this motion was denied. </w:t>
      </w:r>
      <w:r>
        <w:rPr>
          <w:rFonts w:ascii="Times New Roman" w:hAnsi="Times New Roman" w:cs="Times New Roman"/>
          <w:i/>
          <w:iCs/>
          <w:sz w:val="24"/>
          <w:szCs w:val="24"/>
        </w:rPr>
        <w:t xml:space="preserve">Id. </w:t>
      </w:r>
      <w:r>
        <w:rPr>
          <w:rFonts w:ascii="Times New Roman" w:hAnsi="Times New Roman" w:cs="Times New Roman"/>
          <w:sz w:val="24"/>
          <w:szCs w:val="24"/>
        </w:rPr>
        <w:t xml:space="preserve">The defendant appealed the denial and the Appeals Court transferred the case to the SJC. </w:t>
      </w:r>
      <w:r>
        <w:rPr>
          <w:rFonts w:ascii="Times New Roman" w:hAnsi="Times New Roman" w:cs="Times New Roman"/>
          <w:i/>
          <w:iCs/>
          <w:sz w:val="24"/>
          <w:szCs w:val="24"/>
        </w:rPr>
        <w:t xml:space="preserve">Id. </w:t>
      </w:r>
      <w:r>
        <w:rPr>
          <w:rFonts w:ascii="Times New Roman" w:hAnsi="Times New Roman" w:cs="Times New Roman"/>
          <w:sz w:val="24"/>
          <w:szCs w:val="24"/>
        </w:rPr>
        <w:t xml:space="preserve">The SJC reversed the conviction and remanded, finding that </w:t>
      </w:r>
      <w:r w:rsidR="00B876AD">
        <w:rPr>
          <w:rFonts w:ascii="Times New Roman" w:hAnsi="Times New Roman" w:cs="Times New Roman"/>
          <w:sz w:val="24"/>
          <w:szCs w:val="24"/>
        </w:rPr>
        <w:t>“</w:t>
      </w:r>
      <w:r>
        <w:rPr>
          <w:rFonts w:ascii="Times New Roman" w:hAnsi="Times New Roman" w:cs="Times New Roman"/>
          <w:sz w:val="24"/>
          <w:szCs w:val="24"/>
        </w:rPr>
        <w:t>counsel was ineffective</w:t>
      </w:r>
      <w:r w:rsidR="00B876AD">
        <w:rPr>
          <w:rFonts w:ascii="Times New Roman" w:hAnsi="Times New Roman" w:cs="Times New Roman"/>
          <w:sz w:val="24"/>
          <w:szCs w:val="24"/>
        </w:rPr>
        <w:t xml:space="preserve"> in failing to subpoena the defendant’s or complainant’s telephone records.” </w:t>
      </w:r>
      <w:r w:rsidR="00B876AD">
        <w:rPr>
          <w:rFonts w:ascii="Times New Roman" w:hAnsi="Times New Roman" w:cs="Times New Roman"/>
          <w:i/>
          <w:iCs/>
          <w:sz w:val="24"/>
          <w:szCs w:val="24"/>
        </w:rPr>
        <w:t xml:space="preserve">Id. </w:t>
      </w:r>
    </w:p>
    <w:p w14:paraId="0174DF0C" w14:textId="77777777" w:rsidR="00A06125" w:rsidRDefault="00B876AD" w:rsidP="00A0612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Factually, the defendant’s “charges arose out of a sexual encounter between the defendant and a female friend”</w:t>
      </w:r>
      <w:r w:rsidR="00D335B6">
        <w:rPr>
          <w:rFonts w:ascii="Times New Roman" w:hAnsi="Times New Roman" w:cs="Times New Roman"/>
          <w:sz w:val="24"/>
          <w:szCs w:val="24"/>
        </w:rPr>
        <w:t xml:space="preserve"> (complainant)</w:t>
      </w:r>
      <w:r>
        <w:rPr>
          <w:rFonts w:ascii="Times New Roman" w:hAnsi="Times New Roman" w:cs="Times New Roman"/>
          <w:sz w:val="24"/>
          <w:szCs w:val="24"/>
        </w:rPr>
        <w:t xml:space="preserve">. </w:t>
      </w:r>
      <w:r>
        <w:rPr>
          <w:rFonts w:ascii="Times New Roman" w:hAnsi="Times New Roman" w:cs="Times New Roman"/>
          <w:i/>
          <w:iCs/>
          <w:sz w:val="24"/>
          <w:szCs w:val="24"/>
        </w:rPr>
        <w:t xml:space="preserve">Ly, </w:t>
      </w:r>
      <w:r>
        <w:rPr>
          <w:rFonts w:ascii="Times New Roman" w:hAnsi="Times New Roman" w:cs="Times New Roman"/>
          <w:sz w:val="24"/>
          <w:szCs w:val="24"/>
        </w:rPr>
        <w:t xml:space="preserve">454 Mass. at 224. </w:t>
      </w:r>
      <w:r w:rsidR="00F44C73">
        <w:rPr>
          <w:rFonts w:ascii="Times New Roman" w:hAnsi="Times New Roman" w:cs="Times New Roman"/>
          <w:sz w:val="24"/>
          <w:szCs w:val="24"/>
        </w:rPr>
        <w:t>T</w:t>
      </w:r>
      <w:r w:rsidR="00D335B6">
        <w:rPr>
          <w:rFonts w:ascii="Times New Roman" w:hAnsi="Times New Roman" w:cs="Times New Roman"/>
          <w:sz w:val="24"/>
          <w:szCs w:val="24"/>
        </w:rPr>
        <w:t>he defendant claimed the sex was consensual</w:t>
      </w:r>
      <w:r w:rsidR="00A06125">
        <w:rPr>
          <w:rFonts w:ascii="Times New Roman" w:hAnsi="Times New Roman" w:cs="Times New Roman"/>
          <w:sz w:val="24"/>
          <w:szCs w:val="24"/>
        </w:rPr>
        <w:t xml:space="preserve">. </w:t>
      </w:r>
      <w:r w:rsidR="00A06125">
        <w:rPr>
          <w:rFonts w:ascii="Times New Roman" w:hAnsi="Times New Roman" w:cs="Times New Roman"/>
          <w:i/>
          <w:iCs/>
          <w:sz w:val="24"/>
          <w:szCs w:val="24"/>
        </w:rPr>
        <w:t xml:space="preserve">Id. </w:t>
      </w:r>
      <w:r w:rsidR="00F44C73">
        <w:rPr>
          <w:rFonts w:ascii="Times New Roman" w:hAnsi="Times New Roman" w:cs="Times New Roman"/>
          <w:sz w:val="24"/>
          <w:szCs w:val="24"/>
        </w:rPr>
        <w:t xml:space="preserve">The defendant appealed on several grounds, one being relevant to this memorandum; the defendant argued that his counsel was ineffective because his counsel </w:t>
      </w:r>
      <w:r w:rsidR="00F44C73" w:rsidRPr="00F44C73">
        <w:rPr>
          <w:rFonts w:ascii="Times New Roman" w:hAnsi="Times New Roman" w:cs="Times New Roman"/>
          <w:sz w:val="24"/>
          <w:szCs w:val="24"/>
        </w:rPr>
        <w:t xml:space="preserve">“fail[ed] to subpoena </w:t>
      </w:r>
      <w:r w:rsidR="00F44C73" w:rsidRPr="00F44C73">
        <w:rPr>
          <w:rFonts w:ascii="Times New Roman" w:hAnsi="Times New Roman" w:cs="Times New Roman"/>
          <w:sz w:val="24"/>
          <w:szCs w:val="24"/>
          <w:shd w:val="clear" w:color="auto" w:fill="FFFFFF"/>
        </w:rPr>
        <w:t>the complainant's telephone records to impeach her testimony</w:t>
      </w:r>
      <w:r w:rsidR="00F44C73">
        <w:rPr>
          <w:rFonts w:ascii="Times New Roman" w:hAnsi="Times New Roman" w:cs="Times New Roman"/>
          <w:sz w:val="24"/>
          <w:szCs w:val="24"/>
          <w:shd w:val="clear" w:color="auto" w:fill="FFFFFF"/>
        </w:rPr>
        <w:t>”</w:t>
      </w:r>
      <w:r w:rsidR="00F44C73" w:rsidRPr="00F44C73">
        <w:rPr>
          <w:rFonts w:ascii="Times New Roman" w:hAnsi="Times New Roman" w:cs="Times New Roman"/>
          <w:sz w:val="24"/>
          <w:szCs w:val="24"/>
          <w:shd w:val="clear" w:color="auto" w:fill="FFFFFF"/>
        </w:rPr>
        <w:t xml:space="preserve"> </w:t>
      </w:r>
      <w:r w:rsidR="00F44C73">
        <w:rPr>
          <w:rFonts w:ascii="Times New Roman" w:hAnsi="Times New Roman" w:cs="Times New Roman"/>
          <w:sz w:val="24"/>
          <w:szCs w:val="24"/>
          <w:shd w:val="clear" w:color="auto" w:fill="FFFFFF"/>
        </w:rPr>
        <w:t>claiming she</w:t>
      </w:r>
      <w:r w:rsidR="00F44C73" w:rsidRPr="00F44C73">
        <w:rPr>
          <w:rFonts w:ascii="Times New Roman" w:hAnsi="Times New Roman" w:cs="Times New Roman"/>
          <w:sz w:val="24"/>
          <w:szCs w:val="24"/>
          <w:shd w:val="clear" w:color="auto" w:fill="FFFFFF"/>
        </w:rPr>
        <w:t xml:space="preserve"> </w:t>
      </w:r>
      <w:r w:rsidR="00F44C73">
        <w:rPr>
          <w:rFonts w:ascii="Times New Roman" w:hAnsi="Times New Roman" w:cs="Times New Roman"/>
          <w:sz w:val="24"/>
          <w:szCs w:val="24"/>
          <w:shd w:val="clear" w:color="auto" w:fill="FFFFFF"/>
        </w:rPr>
        <w:t>“</w:t>
      </w:r>
      <w:r w:rsidR="00F44C73" w:rsidRPr="00F44C73">
        <w:rPr>
          <w:rFonts w:ascii="Times New Roman" w:hAnsi="Times New Roman" w:cs="Times New Roman"/>
          <w:sz w:val="24"/>
          <w:szCs w:val="24"/>
          <w:shd w:val="clear" w:color="auto" w:fill="FFFFFF"/>
        </w:rPr>
        <w:t>had not made telephone calls to the defendant after the sexual encounter</w:t>
      </w:r>
      <w:r w:rsidR="00F44C73">
        <w:rPr>
          <w:rFonts w:ascii="Times New Roman" w:hAnsi="Times New Roman" w:cs="Times New Roman"/>
          <w:sz w:val="24"/>
          <w:szCs w:val="24"/>
          <w:shd w:val="clear" w:color="auto" w:fill="FFFFFF"/>
        </w:rPr>
        <w:t xml:space="preserve">…” </w:t>
      </w:r>
      <w:r w:rsidR="00F44C73">
        <w:rPr>
          <w:rFonts w:ascii="Times New Roman" w:hAnsi="Times New Roman" w:cs="Times New Roman"/>
          <w:i/>
          <w:iCs/>
          <w:sz w:val="24"/>
          <w:szCs w:val="24"/>
        </w:rPr>
        <w:t xml:space="preserve">Ly, </w:t>
      </w:r>
      <w:r w:rsidR="00F44C73">
        <w:rPr>
          <w:rFonts w:ascii="Times New Roman" w:hAnsi="Times New Roman" w:cs="Times New Roman"/>
          <w:sz w:val="24"/>
          <w:szCs w:val="24"/>
        </w:rPr>
        <w:t xml:space="preserve">454 Mass. at 225. </w:t>
      </w:r>
      <w:r w:rsidR="00E77126">
        <w:rPr>
          <w:rFonts w:ascii="Times New Roman" w:hAnsi="Times New Roman" w:cs="Times New Roman"/>
          <w:sz w:val="24"/>
          <w:szCs w:val="24"/>
        </w:rPr>
        <w:t xml:space="preserve">The court agreed with </w:t>
      </w:r>
      <w:r w:rsidR="00D71332">
        <w:rPr>
          <w:rFonts w:ascii="Times New Roman" w:hAnsi="Times New Roman" w:cs="Times New Roman"/>
          <w:sz w:val="24"/>
          <w:szCs w:val="24"/>
        </w:rPr>
        <w:t>the defendant</w:t>
      </w:r>
      <w:r w:rsidR="00A06125">
        <w:rPr>
          <w:rFonts w:ascii="Times New Roman" w:hAnsi="Times New Roman" w:cs="Times New Roman"/>
          <w:sz w:val="24"/>
          <w:szCs w:val="24"/>
        </w:rPr>
        <w:t xml:space="preserve">, </w:t>
      </w:r>
      <w:r w:rsidR="00D71332">
        <w:rPr>
          <w:rFonts w:ascii="Times New Roman" w:hAnsi="Times New Roman" w:cs="Times New Roman"/>
          <w:sz w:val="24"/>
          <w:szCs w:val="24"/>
        </w:rPr>
        <w:t>because the “only issue in the case was consent” and which story to accept</w:t>
      </w:r>
      <w:r w:rsidR="00A06125">
        <w:rPr>
          <w:rFonts w:ascii="Times New Roman" w:hAnsi="Times New Roman" w:cs="Times New Roman"/>
          <w:sz w:val="24"/>
          <w:szCs w:val="24"/>
        </w:rPr>
        <w:t>;</w:t>
      </w:r>
      <w:r w:rsidR="00D71332">
        <w:rPr>
          <w:rFonts w:ascii="Times New Roman" w:hAnsi="Times New Roman" w:cs="Times New Roman"/>
          <w:sz w:val="24"/>
          <w:szCs w:val="24"/>
        </w:rPr>
        <w:t xml:space="preserve"> the phone records would have been relevant to show the defendant’s credibility or lack thereof. </w:t>
      </w:r>
      <w:r w:rsidR="00D71332">
        <w:rPr>
          <w:rFonts w:ascii="Times New Roman" w:hAnsi="Times New Roman" w:cs="Times New Roman"/>
          <w:i/>
          <w:iCs/>
          <w:sz w:val="24"/>
          <w:szCs w:val="24"/>
        </w:rPr>
        <w:t xml:space="preserve">Ly, </w:t>
      </w:r>
      <w:r w:rsidR="00D71332">
        <w:rPr>
          <w:rFonts w:ascii="Times New Roman" w:hAnsi="Times New Roman" w:cs="Times New Roman"/>
          <w:sz w:val="24"/>
          <w:szCs w:val="24"/>
        </w:rPr>
        <w:t>454 Mass. at 22</w:t>
      </w:r>
      <w:r w:rsidR="007A4FE1">
        <w:rPr>
          <w:rFonts w:ascii="Times New Roman" w:hAnsi="Times New Roman" w:cs="Times New Roman"/>
          <w:sz w:val="24"/>
          <w:szCs w:val="24"/>
        </w:rPr>
        <w:t>9.</w:t>
      </w:r>
      <w:r w:rsidR="004C6B8A">
        <w:rPr>
          <w:rFonts w:ascii="Times New Roman" w:hAnsi="Times New Roman" w:cs="Times New Roman"/>
          <w:sz w:val="24"/>
          <w:szCs w:val="24"/>
        </w:rPr>
        <w:t xml:space="preserve"> </w:t>
      </w:r>
    </w:p>
    <w:p w14:paraId="30B4BAD9" w14:textId="67042E02" w:rsidR="00145725" w:rsidRDefault="004C6B8A" w:rsidP="00A06125">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Because of the significance of the phone records, the court said that there was “no excuse” for not procuring them: “</w:t>
      </w:r>
      <w:r w:rsidRPr="004C6B8A">
        <w:rPr>
          <w:rFonts w:ascii="Times New Roman" w:hAnsi="Times New Roman" w:cs="Times New Roman"/>
          <w:sz w:val="24"/>
          <w:szCs w:val="24"/>
          <w:shd w:val="clear" w:color="auto" w:fill="FFFFFF"/>
        </w:rPr>
        <w:t>The centrality of the telephone calls to the only issue in the case is apparent, and should have been apparent to trial counsel before the case began.”</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rPr>
        <w:t xml:space="preserve">Ly, </w:t>
      </w:r>
      <w:r>
        <w:rPr>
          <w:rFonts w:ascii="Times New Roman" w:hAnsi="Times New Roman" w:cs="Times New Roman"/>
          <w:sz w:val="24"/>
          <w:szCs w:val="24"/>
        </w:rPr>
        <w:t xml:space="preserve">454 Mass. at 230. </w:t>
      </w:r>
    </w:p>
    <w:p w14:paraId="2665F1D9" w14:textId="2FFBD39F" w:rsidR="00511293" w:rsidRDefault="00511293" w:rsidP="00A06125">
      <w:pPr>
        <w:pStyle w:val="NoSpacing"/>
        <w:spacing w:line="480" w:lineRule="auto"/>
        <w:ind w:firstLine="720"/>
        <w:jc w:val="both"/>
        <w:rPr>
          <w:rFonts w:ascii="Times New Roman" w:hAnsi="Times New Roman" w:cs="Times New Roman"/>
          <w:sz w:val="24"/>
          <w:szCs w:val="24"/>
        </w:rPr>
      </w:pPr>
    </w:p>
    <w:p w14:paraId="6AF240AB" w14:textId="77777777" w:rsidR="00511293" w:rsidRPr="00145725" w:rsidRDefault="00511293" w:rsidP="00A06125">
      <w:pPr>
        <w:pStyle w:val="NoSpacing"/>
        <w:spacing w:line="480" w:lineRule="auto"/>
        <w:ind w:firstLine="720"/>
        <w:jc w:val="both"/>
        <w:rPr>
          <w:rFonts w:ascii="Times New Roman" w:hAnsi="Times New Roman" w:cs="Times New Roman"/>
          <w:sz w:val="24"/>
          <w:szCs w:val="24"/>
        </w:rPr>
      </w:pPr>
    </w:p>
    <w:p w14:paraId="32BB7E60" w14:textId="77777777" w:rsidR="004C6B8A" w:rsidRDefault="00240082" w:rsidP="004C6B8A">
      <w:pPr>
        <w:rPr>
          <w:rFonts w:ascii="Times New Roman" w:hAnsi="Times New Roman" w:cs="Times New Roman"/>
          <w:b/>
          <w:sz w:val="24"/>
          <w:szCs w:val="24"/>
        </w:rPr>
      </w:pPr>
      <w:r w:rsidRPr="00240082">
        <w:rPr>
          <w:rFonts w:ascii="Times New Roman" w:hAnsi="Times New Roman" w:cs="Times New Roman"/>
          <w:b/>
          <w:sz w:val="24"/>
          <w:szCs w:val="24"/>
        </w:rPr>
        <w:t xml:space="preserve">IV. </w:t>
      </w:r>
      <w:r w:rsidR="00F11476">
        <w:rPr>
          <w:rFonts w:ascii="Times New Roman" w:hAnsi="Times New Roman" w:cs="Times New Roman"/>
          <w:b/>
          <w:sz w:val="24"/>
          <w:szCs w:val="24"/>
        </w:rPr>
        <w:tab/>
      </w:r>
      <w:r w:rsidR="00517337" w:rsidRPr="00240082">
        <w:rPr>
          <w:rFonts w:ascii="Times New Roman" w:hAnsi="Times New Roman" w:cs="Times New Roman"/>
          <w:b/>
          <w:sz w:val="24"/>
          <w:szCs w:val="24"/>
        </w:rPr>
        <w:t xml:space="preserve">Failure to </w:t>
      </w:r>
      <w:r>
        <w:rPr>
          <w:rFonts w:ascii="Times New Roman" w:hAnsi="Times New Roman" w:cs="Times New Roman"/>
          <w:b/>
          <w:sz w:val="24"/>
          <w:szCs w:val="24"/>
        </w:rPr>
        <w:t>I</w:t>
      </w:r>
      <w:r w:rsidR="00FA38C6" w:rsidRPr="00240082">
        <w:rPr>
          <w:rFonts w:ascii="Times New Roman" w:hAnsi="Times New Roman" w:cs="Times New Roman"/>
          <w:b/>
          <w:sz w:val="24"/>
          <w:szCs w:val="24"/>
        </w:rPr>
        <w:t xml:space="preserve">nterview </w:t>
      </w:r>
      <w:r>
        <w:rPr>
          <w:rFonts w:ascii="Times New Roman" w:hAnsi="Times New Roman" w:cs="Times New Roman"/>
          <w:b/>
          <w:sz w:val="24"/>
          <w:szCs w:val="24"/>
        </w:rPr>
        <w:t>W</w:t>
      </w:r>
      <w:r w:rsidR="00FA38C6" w:rsidRPr="00240082">
        <w:rPr>
          <w:rFonts w:ascii="Times New Roman" w:hAnsi="Times New Roman" w:cs="Times New Roman"/>
          <w:b/>
          <w:sz w:val="24"/>
          <w:szCs w:val="24"/>
        </w:rPr>
        <w:t>itness</w:t>
      </w:r>
      <w:r>
        <w:rPr>
          <w:rFonts w:ascii="Times New Roman" w:hAnsi="Times New Roman" w:cs="Times New Roman"/>
          <w:b/>
          <w:sz w:val="24"/>
          <w:szCs w:val="24"/>
        </w:rPr>
        <w:t xml:space="preserve"> Before the Witness Testifies at Trial</w:t>
      </w:r>
    </w:p>
    <w:p w14:paraId="39DF0408" w14:textId="401E7FDC" w:rsidR="004C6B8A" w:rsidRDefault="004C6B8A" w:rsidP="00AB0EB4">
      <w:pPr>
        <w:pStyle w:val="NoSpacing"/>
        <w:spacing w:line="480" w:lineRule="auto"/>
        <w:ind w:firstLine="720"/>
        <w:jc w:val="both"/>
        <w:rPr>
          <w:rFonts w:ascii="Times New Roman" w:hAnsi="Times New Roman" w:cs="Times New Roman"/>
          <w:i/>
          <w:iCs/>
          <w:sz w:val="24"/>
          <w:szCs w:val="24"/>
        </w:rPr>
      </w:pPr>
      <w:r w:rsidRPr="004C6B8A">
        <w:rPr>
          <w:rFonts w:ascii="Times New Roman" w:hAnsi="Times New Roman" w:cs="Times New Roman"/>
          <w:bCs/>
          <w:sz w:val="24"/>
          <w:szCs w:val="24"/>
        </w:rPr>
        <w:t xml:space="preserve">In </w:t>
      </w:r>
      <w:r w:rsidR="00FA38C6" w:rsidRPr="004C6B8A">
        <w:rPr>
          <w:rFonts w:ascii="Times New Roman" w:hAnsi="Times New Roman" w:cs="Times New Roman"/>
          <w:i/>
          <w:iCs/>
          <w:sz w:val="24"/>
          <w:szCs w:val="24"/>
        </w:rPr>
        <w:t>Commonwealth v. Gonzalez</w:t>
      </w:r>
      <w:r w:rsidR="003268BC" w:rsidRPr="004C6B8A">
        <w:rPr>
          <w:rFonts w:ascii="Times New Roman" w:hAnsi="Times New Roman" w:cs="Times New Roman"/>
          <w:i/>
          <w:iCs/>
          <w:sz w:val="24"/>
          <w:szCs w:val="24"/>
        </w:rPr>
        <w:t>,</w:t>
      </w:r>
      <w:r w:rsidR="003268BC" w:rsidRPr="004C6B8A">
        <w:rPr>
          <w:rFonts w:ascii="Times New Roman" w:hAnsi="Times New Roman" w:cs="Times New Roman"/>
          <w:sz w:val="24"/>
          <w:szCs w:val="24"/>
        </w:rPr>
        <w:t xml:space="preserve"> </w:t>
      </w:r>
      <w:r w:rsidRPr="004C6B8A">
        <w:rPr>
          <w:rFonts w:ascii="Times New Roman" w:hAnsi="Times New Roman" w:cs="Times New Roman"/>
          <w:sz w:val="24"/>
          <w:szCs w:val="24"/>
        </w:rPr>
        <w:t xml:space="preserve">the defendant was convicted of first-degree murder in Hampden County. </w:t>
      </w:r>
      <w:r w:rsidR="00813C3B" w:rsidRPr="004C6B8A">
        <w:rPr>
          <w:rFonts w:ascii="Times New Roman" w:hAnsi="Times New Roman" w:cs="Times New Roman"/>
          <w:sz w:val="24"/>
          <w:szCs w:val="24"/>
        </w:rPr>
        <w:t>473 Mass. 415 (2015)</w:t>
      </w:r>
      <w:r w:rsidRPr="004C6B8A">
        <w:rPr>
          <w:rFonts w:ascii="Times New Roman" w:hAnsi="Times New Roman" w:cs="Times New Roman"/>
          <w:sz w:val="24"/>
          <w:szCs w:val="24"/>
        </w:rPr>
        <w:t xml:space="preserve">. The defendant appealed his conviction, </w:t>
      </w:r>
      <w:r w:rsidR="0024560E">
        <w:rPr>
          <w:rFonts w:ascii="Times New Roman" w:hAnsi="Times New Roman" w:cs="Times New Roman"/>
          <w:sz w:val="24"/>
          <w:szCs w:val="24"/>
        </w:rPr>
        <w:t xml:space="preserve">arguing </w:t>
      </w:r>
      <w:r w:rsidRPr="004C6B8A">
        <w:rPr>
          <w:rFonts w:ascii="Times New Roman" w:hAnsi="Times New Roman" w:cs="Times New Roman"/>
          <w:sz w:val="24"/>
          <w:szCs w:val="24"/>
        </w:rPr>
        <w:t xml:space="preserve">that </w:t>
      </w:r>
      <w:r w:rsidR="0024560E">
        <w:rPr>
          <w:rFonts w:ascii="Times New Roman" w:hAnsi="Times New Roman" w:cs="Times New Roman"/>
          <w:sz w:val="24"/>
          <w:szCs w:val="24"/>
        </w:rPr>
        <w:t xml:space="preserve">he deserved a new trial because he did not receive effective assistance of counsel. </w:t>
      </w:r>
      <w:r w:rsidR="0024560E">
        <w:rPr>
          <w:rFonts w:ascii="Times New Roman" w:hAnsi="Times New Roman" w:cs="Times New Roman"/>
          <w:i/>
          <w:iCs/>
          <w:sz w:val="24"/>
          <w:szCs w:val="24"/>
        </w:rPr>
        <w:t xml:space="preserve">Gonzalez, </w:t>
      </w:r>
      <w:r w:rsidR="0024560E">
        <w:rPr>
          <w:rFonts w:ascii="Times New Roman" w:hAnsi="Times New Roman" w:cs="Times New Roman"/>
          <w:sz w:val="24"/>
          <w:szCs w:val="24"/>
        </w:rPr>
        <w:t>473 Mass. at 416. In relevant part, the defendant made this claim because his</w:t>
      </w:r>
      <w:r w:rsidRPr="004C6B8A">
        <w:rPr>
          <w:rFonts w:ascii="Times New Roman" w:hAnsi="Times New Roman" w:cs="Times New Roman"/>
          <w:sz w:val="24"/>
          <w:szCs w:val="24"/>
        </w:rPr>
        <w:t xml:space="preserve"> </w:t>
      </w:r>
      <w:r w:rsidR="0024560E">
        <w:rPr>
          <w:rFonts w:ascii="Times New Roman" w:hAnsi="Times New Roman" w:cs="Times New Roman"/>
          <w:sz w:val="24"/>
          <w:szCs w:val="24"/>
        </w:rPr>
        <w:t xml:space="preserve">trial </w:t>
      </w:r>
      <w:r w:rsidRPr="004C6B8A">
        <w:rPr>
          <w:rFonts w:ascii="Times New Roman" w:hAnsi="Times New Roman" w:cs="Times New Roman"/>
          <w:sz w:val="24"/>
          <w:szCs w:val="24"/>
        </w:rPr>
        <w:t>counsel failed to interview a</w:t>
      </w:r>
      <w:r w:rsidR="00FD5771">
        <w:rPr>
          <w:rFonts w:ascii="Times New Roman" w:hAnsi="Times New Roman" w:cs="Times New Roman"/>
          <w:sz w:val="24"/>
          <w:szCs w:val="24"/>
        </w:rPr>
        <w:t xml:space="preserve"> contradictory </w:t>
      </w:r>
      <w:r w:rsidRPr="004C6B8A">
        <w:rPr>
          <w:rFonts w:ascii="Times New Roman" w:hAnsi="Times New Roman" w:cs="Times New Roman"/>
          <w:sz w:val="24"/>
          <w:szCs w:val="24"/>
        </w:rPr>
        <w:t>alibi witness prior to</w:t>
      </w:r>
      <w:r w:rsidR="00FB45A3">
        <w:rPr>
          <w:rFonts w:ascii="Times New Roman" w:hAnsi="Times New Roman" w:cs="Times New Roman"/>
          <w:sz w:val="24"/>
          <w:szCs w:val="24"/>
        </w:rPr>
        <w:t xml:space="preserve"> giving</w:t>
      </w:r>
      <w:r w:rsidRPr="004C6B8A">
        <w:rPr>
          <w:rFonts w:ascii="Times New Roman" w:hAnsi="Times New Roman" w:cs="Times New Roman"/>
          <w:sz w:val="24"/>
          <w:szCs w:val="24"/>
        </w:rPr>
        <w:t xml:space="preserve"> testimony</w:t>
      </w:r>
      <w:r w:rsidR="00FB45A3">
        <w:rPr>
          <w:rFonts w:ascii="Times New Roman" w:hAnsi="Times New Roman" w:cs="Times New Roman"/>
          <w:sz w:val="24"/>
          <w:szCs w:val="24"/>
        </w:rPr>
        <w:t xml:space="preserve"> in court</w:t>
      </w:r>
      <w:r w:rsidR="0024560E">
        <w:rPr>
          <w:rFonts w:ascii="Times New Roman" w:hAnsi="Times New Roman" w:cs="Times New Roman"/>
          <w:sz w:val="24"/>
          <w:szCs w:val="24"/>
        </w:rPr>
        <w:t>.</w:t>
      </w:r>
      <w:r w:rsidRPr="004C6B8A">
        <w:rPr>
          <w:rFonts w:ascii="Times New Roman" w:hAnsi="Times New Roman" w:cs="Times New Roman"/>
          <w:sz w:val="24"/>
          <w:szCs w:val="24"/>
        </w:rPr>
        <w:t xml:space="preserve"> </w:t>
      </w:r>
      <w:r w:rsidRPr="004C6B8A">
        <w:rPr>
          <w:rFonts w:ascii="Times New Roman" w:hAnsi="Times New Roman" w:cs="Times New Roman"/>
          <w:i/>
          <w:iCs/>
          <w:sz w:val="24"/>
          <w:szCs w:val="24"/>
        </w:rPr>
        <w:t xml:space="preserve">Id. </w:t>
      </w:r>
      <w:r w:rsidRPr="004C6B8A">
        <w:rPr>
          <w:rFonts w:ascii="Times New Roman" w:hAnsi="Times New Roman" w:cs="Times New Roman"/>
          <w:sz w:val="24"/>
          <w:szCs w:val="24"/>
        </w:rPr>
        <w:t xml:space="preserve">The court rejected the </w:t>
      </w:r>
      <w:r w:rsidR="00FD5771">
        <w:rPr>
          <w:rFonts w:ascii="Times New Roman" w:hAnsi="Times New Roman" w:cs="Times New Roman"/>
          <w:sz w:val="24"/>
          <w:szCs w:val="24"/>
        </w:rPr>
        <w:t>defendant’s arguments</w:t>
      </w:r>
      <w:r w:rsidRPr="004C6B8A">
        <w:rPr>
          <w:rFonts w:ascii="Times New Roman" w:hAnsi="Times New Roman" w:cs="Times New Roman"/>
          <w:sz w:val="24"/>
          <w:szCs w:val="24"/>
        </w:rPr>
        <w:t xml:space="preserve">, and the conviction was affirmed. </w:t>
      </w:r>
      <w:r w:rsidRPr="004C6B8A">
        <w:rPr>
          <w:rFonts w:ascii="Times New Roman" w:hAnsi="Times New Roman" w:cs="Times New Roman"/>
          <w:i/>
          <w:iCs/>
          <w:sz w:val="24"/>
          <w:szCs w:val="24"/>
        </w:rPr>
        <w:t xml:space="preserve">Id. </w:t>
      </w:r>
    </w:p>
    <w:p w14:paraId="62B78662" w14:textId="5941973C" w:rsidR="00FA38C6" w:rsidRPr="00FD5771" w:rsidRDefault="009D44E4" w:rsidP="00FD5771">
      <w:pPr>
        <w:pStyle w:val="NoSpacing"/>
        <w:spacing w:line="480" w:lineRule="auto"/>
        <w:ind w:firstLine="720"/>
        <w:jc w:val="both"/>
        <w:rPr>
          <w:i/>
          <w:iCs/>
        </w:rPr>
      </w:pPr>
      <w:r>
        <w:rPr>
          <w:rFonts w:ascii="Times New Roman" w:hAnsi="Times New Roman" w:cs="Times New Roman"/>
          <w:sz w:val="24"/>
          <w:szCs w:val="24"/>
        </w:rPr>
        <w:t xml:space="preserve">At trial, </w:t>
      </w:r>
      <w:r w:rsidR="00AD34DF">
        <w:rPr>
          <w:rFonts w:ascii="Times New Roman" w:hAnsi="Times New Roman" w:cs="Times New Roman"/>
          <w:sz w:val="24"/>
          <w:szCs w:val="24"/>
        </w:rPr>
        <w:t xml:space="preserve">the defense called Carol Adorno to testify in support of the alibi for defendant. </w:t>
      </w:r>
      <w:r w:rsidR="00AD34DF">
        <w:rPr>
          <w:rFonts w:ascii="Times New Roman" w:hAnsi="Times New Roman" w:cs="Times New Roman"/>
          <w:i/>
          <w:iCs/>
          <w:sz w:val="24"/>
          <w:szCs w:val="24"/>
        </w:rPr>
        <w:t xml:space="preserve">Gonzalez, </w:t>
      </w:r>
      <w:r w:rsidR="00AD34DF" w:rsidRPr="004C6B8A">
        <w:rPr>
          <w:rFonts w:ascii="Times New Roman" w:hAnsi="Times New Roman" w:cs="Times New Roman"/>
          <w:sz w:val="24"/>
          <w:szCs w:val="24"/>
        </w:rPr>
        <w:t>473 Mass</w:t>
      </w:r>
      <w:r w:rsidR="00AD34DF">
        <w:rPr>
          <w:rFonts w:ascii="Times New Roman" w:hAnsi="Times New Roman" w:cs="Times New Roman"/>
          <w:sz w:val="24"/>
          <w:szCs w:val="24"/>
        </w:rPr>
        <w:t xml:space="preserve">. at 419. </w:t>
      </w:r>
      <w:r w:rsidR="00A06125">
        <w:rPr>
          <w:rFonts w:ascii="Times New Roman" w:hAnsi="Times New Roman" w:cs="Times New Roman"/>
          <w:sz w:val="24"/>
          <w:szCs w:val="24"/>
        </w:rPr>
        <w:t>W</w:t>
      </w:r>
      <w:r w:rsidR="00AD34DF">
        <w:rPr>
          <w:rFonts w:ascii="Times New Roman" w:hAnsi="Times New Roman" w:cs="Times New Roman"/>
          <w:sz w:val="24"/>
          <w:szCs w:val="24"/>
        </w:rPr>
        <w:t>hen the defendant testified, he</w:t>
      </w:r>
      <w:r w:rsidR="00A06125">
        <w:rPr>
          <w:rFonts w:ascii="Times New Roman" w:hAnsi="Times New Roman" w:cs="Times New Roman"/>
          <w:sz w:val="24"/>
          <w:szCs w:val="24"/>
        </w:rPr>
        <w:t xml:space="preserve"> offered a contradictory alibi. I</w:t>
      </w:r>
      <w:r w:rsidR="00AD34DF">
        <w:rPr>
          <w:rFonts w:ascii="Times New Roman" w:hAnsi="Times New Roman" w:cs="Times New Roman"/>
          <w:sz w:val="24"/>
          <w:szCs w:val="24"/>
        </w:rPr>
        <w:t>n a post-trial affidavit, Adorno “attested that she was not interviewed by trial counsel before she testified.”</w:t>
      </w:r>
      <w:r w:rsidR="00FD5771">
        <w:rPr>
          <w:rFonts w:ascii="Times New Roman" w:hAnsi="Times New Roman" w:cs="Times New Roman"/>
          <w:sz w:val="24"/>
          <w:szCs w:val="24"/>
        </w:rPr>
        <w:t xml:space="preserve"> </w:t>
      </w:r>
      <w:r w:rsidR="00FD5771">
        <w:rPr>
          <w:rFonts w:ascii="Times New Roman" w:hAnsi="Times New Roman" w:cs="Times New Roman"/>
          <w:i/>
          <w:iCs/>
          <w:sz w:val="24"/>
          <w:szCs w:val="24"/>
        </w:rPr>
        <w:t xml:space="preserve">Gonzalez, </w:t>
      </w:r>
      <w:r w:rsidR="00FD5771" w:rsidRPr="004C6B8A">
        <w:rPr>
          <w:rFonts w:ascii="Times New Roman" w:hAnsi="Times New Roman" w:cs="Times New Roman"/>
          <w:sz w:val="24"/>
          <w:szCs w:val="24"/>
        </w:rPr>
        <w:t>473 Mass</w:t>
      </w:r>
      <w:r w:rsidR="00FD5771">
        <w:rPr>
          <w:rFonts w:ascii="Times New Roman" w:hAnsi="Times New Roman" w:cs="Times New Roman"/>
          <w:sz w:val="24"/>
          <w:szCs w:val="24"/>
        </w:rPr>
        <w:t xml:space="preserve">. at 420. Moreover, the defendant claimed that there were two witnesses “who would have offered new evidence regarding the immediate aftermath of the shooting,” but they were not called. </w:t>
      </w:r>
      <w:r w:rsidR="00FD5771">
        <w:rPr>
          <w:rFonts w:ascii="Times New Roman" w:hAnsi="Times New Roman" w:cs="Times New Roman"/>
          <w:i/>
          <w:iCs/>
          <w:sz w:val="24"/>
          <w:szCs w:val="24"/>
        </w:rPr>
        <w:t xml:space="preserve">Id. </w:t>
      </w:r>
    </w:p>
    <w:p w14:paraId="70B91391" w14:textId="3E4F71FA" w:rsidR="00FD5771" w:rsidRPr="007C581B" w:rsidRDefault="00FA38C6" w:rsidP="007C581B">
      <w:pPr>
        <w:pStyle w:val="PlainText"/>
        <w:spacing w:before="0" w:beforeAutospacing="0" w:after="0" w:afterAutospacing="0" w:line="480" w:lineRule="auto"/>
        <w:ind w:firstLine="720"/>
        <w:jc w:val="both"/>
        <w:rPr>
          <w:i/>
          <w:iCs/>
        </w:rPr>
      </w:pPr>
      <w:r w:rsidRPr="00813C3B">
        <w:t xml:space="preserve">In its decision, the SJC </w:t>
      </w:r>
      <w:r w:rsidR="00FB45A3">
        <w:t>agreed</w:t>
      </w:r>
      <w:r w:rsidRPr="00813C3B">
        <w:t xml:space="preserve"> “that defense counsel erred in calling Adorno to testify as an alibi witness without knowing what she would say</w:t>
      </w:r>
      <w:r w:rsidR="00FD5771">
        <w:t>.</w:t>
      </w:r>
      <w:r w:rsidR="00FB45A3">
        <w:t xml:space="preserve">” </w:t>
      </w:r>
      <w:r w:rsidR="00FB45A3">
        <w:rPr>
          <w:i/>
          <w:iCs/>
        </w:rPr>
        <w:t xml:space="preserve">Gonzalez, </w:t>
      </w:r>
      <w:r w:rsidR="00FB45A3" w:rsidRPr="004C6B8A">
        <w:t>473 Mass</w:t>
      </w:r>
      <w:r w:rsidR="00FB45A3">
        <w:t>. at 421.</w:t>
      </w:r>
      <w:r w:rsidR="00FD5771">
        <w:t xml:space="preserve"> However,</w:t>
      </w:r>
      <w:r w:rsidRPr="00813C3B">
        <w:t xml:space="preserve"> </w:t>
      </w:r>
      <w:r w:rsidR="00FD5771">
        <w:t>the SJC next considered “</w:t>
      </w:r>
      <w:r w:rsidRPr="00813C3B">
        <w:t>whether the credibility of the defendant’s testimony would have been materially stronger had defense counsel interviewed Adorno before trial and decided to forgo offering her testimony.”</w:t>
      </w:r>
      <w:r w:rsidR="00FB45A3">
        <w:t xml:space="preserve"> </w:t>
      </w:r>
      <w:r w:rsidR="00FB45A3">
        <w:rPr>
          <w:i/>
          <w:iCs/>
        </w:rPr>
        <w:t>Id.</w:t>
      </w:r>
      <w:r w:rsidRPr="00813C3B">
        <w:t xml:space="preserve"> The Court concluded that “although Adorno’s contradictory alibi testimony likely diminished the credibility of the defendant’s alibi,</w:t>
      </w:r>
      <w:r w:rsidR="00FB45A3">
        <w:t>”</w:t>
      </w:r>
      <w:r w:rsidRPr="00813C3B">
        <w:t xml:space="preserve"> </w:t>
      </w:r>
      <w:r w:rsidR="00FB45A3">
        <w:t xml:space="preserve">it is unlikely </w:t>
      </w:r>
      <w:r w:rsidRPr="00813C3B">
        <w:t>that Adorno’s testimony in</w:t>
      </w:r>
      <w:r w:rsidR="00FB45A3">
        <w:t>fluenced</w:t>
      </w:r>
      <w:r w:rsidRPr="00813C3B">
        <w:t xml:space="preserve"> the jury’s verdict</w:t>
      </w:r>
      <w:r w:rsidR="00FB45A3">
        <w:t xml:space="preserve"> either way. </w:t>
      </w:r>
      <w:r w:rsidR="00FB45A3">
        <w:rPr>
          <w:i/>
          <w:iCs/>
        </w:rPr>
        <w:t xml:space="preserve">Gonzalez, </w:t>
      </w:r>
      <w:r w:rsidR="00FB45A3" w:rsidRPr="004C6B8A">
        <w:t>473 Mass</w:t>
      </w:r>
      <w:r w:rsidR="00FB45A3">
        <w:t>. at 422</w:t>
      </w:r>
      <w:r w:rsidR="00880DAC">
        <w:t>.</w:t>
      </w:r>
      <w:r w:rsidR="00FD5771">
        <w:t xml:space="preserve"> Because the Commonwealth had an abundance of strong evidence against the defendant, the outcome of conviction would likely have been the same, even if Adorno had </w:t>
      </w:r>
      <w:r w:rsidR="00FB45A3">
        <w:t xml:space="preserve">not </w:t>
      </w:r>
      <w:r w:rsidR="00FD5771">
        <w:t>testified: “[t]</w:t>
      </w:r>
      <w:r w:rsidRPr="00813C3B">
        <w:t>he defendant’s testimony, had it stood alone, was not likely to have been regarded as sufficiently credible to create a reasonable doubt regarding the defendant’s guilt.”</w:t>
      </w:r>
      <w:r w:rsidR="00FB45A3">
        <w:t xml:space="preserve"> </w:t>
      </w:r>
      <w:r w:rsidR="00FB45A3">
        <w:rPr>
          <w:i/>
          <w:iCs/>
        </w:rPr>
        <w:t xml:space="preserve">Gonzalez, </w:t>
      </w:r>
      <w:r w:rsidR="00FB45A3" w:rsidRPr="004C6B8A">
        <w:t>473 Mass</w:t>
      </w:r>
      <w:r w:rsidR="00FB45A3">
        <w:t>. at 422-423.</w:t>
      </w:r>
      <w:r w:rsidR="00FD5771">
        <w:t xml:space="preserve"> The SJC used the evidence and facts on record to make the argument that the reasonable minds of the jury would not have been swayed, and that the error was not material enough to deem the trial counsel ineffective. </w:t>
      </w:r>
      <w:r w:rsidR="00FD5771">
        <w:rPr>
          <w:i/>
          <w:iCs/>
        </w:rPr>
        <w:t>Id.</w:t>
      </w:r>
      <w:r w:rsidR="00FB45A3">
        <w:rPr>
          <w:i/>
          <w:iCs/>
        </w:rPr>
        <w:t xml:space="preserve"> </w:t>
      </w:r>
      <w:r w:rsidR="00FB45A3">
        <w:t xml:space="preserve">Additionally, the defendant argued that “the failure of the trial judge to instruct the jury regarding an alibi defense </w:t>
      </w:r>
      <w:r w:rsidR="00FB45A3" w:rsidRPr="00FB45A3">
        <w:rPr>
          <w:i/>
          <w:iCs/>
        </w:rPr>
        <w:t>sua sponte</w:t>
      </w:r>
      <w:r w:rsidR="00FB45A3">
        <w:t xml:space="preserve"> resulted in a substantial likelihood of a miscarriage of justice.” </w:t>
      </w:r>
      <w:r w:rsidR="00FB45A3">
        <w:rPr>
          <w:i/>
          <w:iCs/>
        </w:rPr>
        <w:t xml:space="preserve">Gonzalez, </w:t>
      </w:r>
      <w:r w:rsidR="00FB45A3" w:rsidRPr="004C6B8A">
        <w:t>473 Mass</w:t>
      </w:r>
      <w:r w:rsidR="00FB45A3">
        <w:t xml:space="preserve">. at 425. The SJC disagreed, answering “it is well settled that an ‘alibi instruction is not required where the charge as a whole </w:t>
      </w:r>
      <w:r w:rsidR="00FB45A3" w:rsidRPr="00FB45A3">
        <w:rPr>
          <w:shd w:val="clear" w:color="auto" w:fill="FFFFFF"/>
        </w:rPr>
        <w:t>makes clear that the Commonwealth must prove beyond a reasonable doubt that the defendant committed the crime for which he was indicted.’</w:t>
      </w:r>
      <w:r w:rsidR="00FB45A3">
        <w:rPr>
          <w:shd w:val="clear" w:color="auto" w:fill="FFFFFF"/>
        </w:rPr>
        <w:t>”</w:t>
      </w:r>
      <w:r w:rsidR="007C581B">
        <w:rPr>
          <w:shd w:val="clear" w:color="auto" w:fill="FFFFFF"/>
        </w:rPr>
        <w:t xml:space="preserve"> </w:t>
      </w:r>
      <w:r w:rsidR="007C581B">
        <w:rPr>
          <w:i/>
          <w:iCs/>
          <w:shd w:val="clear" w:color="auto" w:fill="FFFFFF"/>
        </w:rPr>
        <w:t>Id.</w:t>
      </w:r>
    </w:p>
    <w:p w14:paraId="4BC64219" w14:textId="5C1001AC" w:rsidR="00E15EC6" w:rsidRDefault="00E15EC6" w:rsidP="00E15EC6">
      <w:pPr>
        <w:jc w:val="center"/>
        <w:rPr>
          <w:rFonts w:ascii="Times New Roman" w:hAnsi="Times New Roman" w:cs="Times New Roman"/>
          <w:b/>
          <w:bCs/>
          <w:iCs/>
          <w:sz w:val="24"/>
          <w:szCs w:val="24"/>
          <w:u w:val="single"/>
        </w:rPr>
      </w:pPr>
      <w:r>
        <w:rPr>
          <w:rFonts w:ascii="Times New Roman" w:hAnsi="Times New Roman" w:cs="Times New Roman"/>
          <w:b/>
          <w:bCs/>
          <w:iCs/>
          <w:sz w:val="24"/>
          <w:szCs w:val="24"/>
          <w:u w:val="single"/>
        </w:rPr>
        <w:t>CONCLUSION</w:t>
      </w:r>
    </w:p>
    <w:p w14:paraId="09E882E7" w14:textId="1D8A8B06" w:rsidR="000B5246" w:rsidRPr="00457024" w:rsidRDefault="000B5246" w:rsidP="00457024">
      <w:pPr>
        <w:pStyle w:val="NoSpacing"/>
        <w:spacing w:line="480" w:lineRule="auto"/>
        <w:jc w:val="both"/>
        <w:rPr>
          <w:rFonts w:ascii="Times New Roman" w:hAnsi="Times New Roman" w:cs="Times New Roman"/>
          <w:sz w:val="24"/>
          <w:szCs w:val="24"/>
        </w:rPr>
      </w:pPr>
      <w:r>
        <w:tab/>
      </w:r>
      <w:r w:rsidR="0050317E" w:rsidRPr="00457024">
        <w:rPr>
          <w:rFonts w:ascii="Times New Roman" w:hAnsi="Times New Roman" w:cs="Times New Roman"/>
          <w:sz w:val="24"/>
          <w:szCs w:val="24"/>
        </w:rPr>
        <w:t xml:space="preserve">The Supreme Court offered basic guidance in </w:t>
      </w:r>
      <w:r w:rsidR="0050317E" w:rsidRPr="00457024">
        <w:rPr>
          <w:rFonts w:ascii="Times New Roman" w:hAnsi="Times New Roman" w:cs="Times New Roman"/>
          <w:i/>
          <w:iCs/>
          <w:sz w:val="24"/>
          <w:szCs w:val="24"/>
        </w:rPr>
        <w:t xml:space="preserve">Strickland </w:t>
      </w:r>
      <w:r w:rsidR="0050317E" w:rsidRPr="00457024">
        <w:rPr>
          <w:rFonts w:ascii="Times New Roman" w:hAnsi="Times New Roman" w:cs="Times New Roman"/>
          <w:sz w:val="24"/>
          <w:szCs w:val="24"/>
        </w:rPr>
        <w:t xml:space="preserve">and </w:t>
      </w:r>
      <w:r w:rsidR="0050317E" w:rsidRPr="00457024">
        <w:rPr>
          <w:rFonts w:ascii="Times New Roman" w:hAnsi="Times New Roman" w:cs="Times New Roman"/>
          <w:i/>
          <w:iCs/>
          <w:sz w:val="24"/>
          <w:szCs w:val="24"/>
        </w:rPr>
        <w:t>Saferian.</w:t>
      </w:r>
      <w:r w:rsidR="00302F60" w:rsidRPr="00457024">
        <w:rPr>
          <w:rFonts w:ascii="Times New Roman" w:hAnsi="Times New Roman" w:cs="Times New Roman"/>
          <w:i/>
          <w:iCs/>
          <w:sz w:val="24"/>
          <w:szCs w:val="24"/>
        </w:rPr>
        <w:t xml:space="preserve"> </w:t>
      </w:r>
      <w:r w:rsidR="00302F60" w:rsidRPr="00457024">
        <w:rPr>
          <w:rFonts w:ascii="Times New Roman" w:hAnsi="Times New Roman" w:cs="Times New Roman"/>
          <w:sz w:val="24"/>
          <w:szCs w:val="24"/>
        </w:rPr>
        <w:t>Other cases hold that in situations requiring appointment of counsel for indigent defendants, due process requires that “the assignment of defense counsel must be…made in a manner that affords effective aid in the preparation and trial of the case.</w:t>
      </w:r>
      <w:r w:rsidR="00511293" w:rsidRPr="00457024">
        <w:rPr>
          <w:rFonts w:ascii="Times New Roman" w:hAnsi="Times New Roman" w:cs="Times New Roman"/>
          <w:sz w:val="24"/>
          <w:szCs w:val="24"/>
        </w:rPr>
        <w:t xml:space="preserve">” </w:t>
      </w:r>
      <w:r w:rsidR="00302F60" w:rsidRPr="00457024">
        <w:rPr>
          <w:rFonts w:ascii="Times New Roman" w:hAnsi="Times New Roman" w:cs="Times New Roman"/>
          <w:i/>
          <w:iCs/>
          <w:color w:val="000000" w:themeColor="text1"/>
          <w:sz w:val="24"/>
          <w:szCs w:val="24"/>
        </w:rPr>
        <w:t xml:space="preserve">See </w:t>
      </w:r>
      <w:hyperlink r:id="rId8" w:tgtFrame="_blank" w:history="1">
        <w:r w:rsidR="00302F60" w:rsidRPr="00457024">
          <w:rPr>
            <w:rStyle w:val="Title1"/>
            <w:rFonts w:ascii="Times New Roman" w:hAnsi="Times New Roman" w:cs="Times New Roman"/>
            <w:i/>
            <w:iCs/>
            <w:color w:val="000000" w:themeColor="text1"/>
            <w:sz w:val="24"/>
            <w:szCs w:val="24"/>
          </w:rPr>
          <w:t>Powell v. Alabama</w:t>
        </w:r>
        <w:r w:rsidR="00302F60" w:rsidRPr="00457024">
          <w:rPr>
            <w:rStyle w:val="Hyperlink"/>
            <w:rFonts w:ascii="Times New Roman" w:hAnsi="Times New Roman" w:cs="Times New Roman"/>
            <w:color w:val="000000" w:themeColor="text1"/>
            <w:sz w:val="24"/>
            <w:szCs w:val="24"/>
            <w:u w:val="none"/>
          </w:rPr>
          <w:t>, </w:t>
        </w:r>
        <w:r w:rsidR="00302F60" w:rsidRPr="00457024">
          <w:rPr>
            <w:rStyle w:val="vrpd"/>
            <w:rFonts w:ascii="Times New Roman" w:hAnsi="Times New Roman" w:cs="Times New Roman"/>
            <w:color w:val="000000" w:themeColor="text1"/>
            <w:sz w:val="24"/>
            <w:szCs w:val="24"/>
          </w:rPr>
          <w:t>287 U.S. 45, 71–72 (1932)</w:t>
        </w:r>
      </w:hyperlink>
      <w:r w:rsidR="00302F60" w:rsidRPr="00457024">
        <w:rPr>
          <w:rStyle w:val="cite"/>
          <w:rFonts w:ascii="Times New Roman" w:hAnsi="Times New Roman" w:cs="Times New Roman"/>
          <w:color w:val="000000" w:themeColor="text1"/>
          <w:sz w:val="24"/>
          <w:szCs w:val="24"/>
        </w:rPr>
        <w:t xml:space="preserve">; </w:t>
      </w:r>
      <w:hyperlink r:id="rId9" w:tgtFrame="_blank" w:history="1">
        <w:r w:rsidR="00302F60" w:rsidRPr="00457024">
          <w:rPr>
            <w:rStyle w:val="Title1"/>
            <w:rFonts w:ascii="Times New Roman" w:hAnsi="Times New Roman" w:cs="Times New Roman"/>
            <w:i/>
            <w:iCs/>
            <w:color w:val="000000" w:themeColor="text1"/>
            <w:sz w:val="24"/>
            <w:szCs w:val="24"/>
          </w:rPr>
          <w:t>Glasser v. United States</w:t>
        </w:r>
        <w:r w:rsidR="00302F60" w:rsidRPr="00457024">
          <w:rPr>
            <w:rStyle w:val="Hyperlink"/>
            <w:rFonts w:ascii="Times New Roman" w:hAnsi="Times New Roman" w:cs="Times New Roman"/>
            <w:color w:val="000000" w:themeColor="text1"/>
            <w:sz w:val="24"/>
            <w:szCs w:val="24"/>
            <w:u w:val="none"/>
          </w:rPr>
          <w:t>, </w:t>
        </w:r>
        <w:r w:rsidR="00302F60" w:rsidRPr="00457024">
          <w:rPr>
            <w:rStyle w:val="vrpd"/>
            <w:rFonts w:ascii="Times New Roman" w:hAnsi="Times New Roman" w:cs="Times New Roman"/>
            <w:color w:val="000000" w:themeColor="text1"/>
            <w:sz w:val="24"/>
            <w:szCs w:val="24"/>
          </w:rPr>
          <w:t>315 U.S. 60, 70 (1942)</w:t>
        </w:r>
      </w:hyperlink>
      <w:r w:rsidR="00302F60" w:rsidRPr="00457024">
        <w:rPr>
          <w:rStyle w:val="cite"/>
          <w:rFonts w:ascii="Times New Roman" w:hAnsi="Times New Roman" w:cs="Times New Roman"/>
          <w:color w:val="000000" w:themeColor="text1"/>
          <w:sz w:val="24"/>
          <w:szCs w:val="24"/>
        </w:rPr>
        <w:t xml:space="preserve">. </w:t>
      </w:r>
      <w:r w:rsidRPr="00457024">
        <w:rPr>
          <w:rFonts w:ascii="Times New Roman" w:hAnsi="Times New Roman" w:cs="Times New Roman"/>
          <w:sz w:val="24"/>
          <w:szCs w:val="24"/>
        </w:rPr>
        <w:t xml:space="preserve">To serve the principles of due process, an attorney should offer reasonably effective assistance to his or her clients. </w:t>
      </w:r>
      <w:r w:rsidR="0050317E" w:rsidRPr="00457024">
        <w:rPr>
          <w:rFonts w:ascii="Times New Roman" w:hAnsi="Times New Roman" w:cs="Times New Roman"/>
          <w:sz w:val="24"/>
          <w:szCs w:val="24"/>
        </w:rPr>
        <w:t>Upon review, a court will ask whether there has been a serious incompetency, inefficiency, or inattention of counsel, where the b</w:t>
      </w:r>
      <w:r w:rsidR="0050317E" w:rsidRPr="00457024">
        <w:rPr>
          <w:rFonts w:ascii="Times New Roman" w:hAnsi="Times New Roman" w:cs="Times New Roman"/>
          <w:sz w:val="24"/>
          <w:szCs w:val="24"/>
          <w:shd w:val="clear" w:color="auto" w:fill="FFFFFF"/>
        </w:rPr>
        <w:t>ehavior of counsel falls measurably below that which might be expected from an ordinary fallible lawyer. If this is the case,</w:t>
      </w:r>
      <w:r w:rsidR="009E1400" w:rsidRPr="00457024">
        <w:rPr>
          <w:rFonts w:ascii="Times New Roman" w:hAnsi="Times New Roman" w:cs="Times New Roman"/>
          <w:sz w:val="24"/>
          <w:szCs w:val="24"/>
          <w:shd w:val="clear" w:color="auto" w:fill="FFFFFF"/>
        </w:rPr>
        <w:t xml:space="preserve"> a reviewing court will ask </w:t>
      </w:r>
      <w:r w:rsidR="0050317E" w:rsidRPr="00457024">
        <w:rPr>
          <w:rFonts w:ascii="Times New Roman" w:hAnsi="Times New Roman" w:cs="Times New Roman"/>
          <w:sz w:val="24"/>
          <w:szCs w:val="24"/>
          <w:shd w:val="clear" w:color="auto" w:fill="FFFFFF"/>
        </w:rPr>
        <w:t>whether the assistance likely deprived the defendant of an otherwise available, substantial ground of defense.</w:t>
      </w:r>
      <w:r w:rsidR="00302F60" w:rsidRPr="00457024">
        <w:rPr>
          <w:rFonts w:ascii="Times New Roman" w:hAnsi="Times New Roman" w:cs="Times New Roman"/>
          <w:sz w:val="24"/>
          <w:szCs w:val="24"/>
          <w:shd w:val="clear" w:color="auto" w:fill="FFFFFF"/>
        </w:rPr>
        <w:t xml:space="preserve"> </w:t>
      </w:r>
    </w:p>
    <w:p w14:paraId="33C03A30" w14:textId="1DA66D99" w:rsidR="001343F3" w:rsidRPr="00457024" w:rsidRDefault="000B5246" w:rsidP="00457024">
      <w:pPr>
        <w:pStyle w:val="NoSpacing"/>
        <w:spacing w:line="480" w:lineRule="auto"/>
        <w:jc w:val="both"/>
        <w:rPr>
          <w:rFonts w:ascii="Times New Roman" w:hAnsi="Times New Roman" w:cs="Times New Roman"/>
          <w:sz w:val="24"/>
          <w:szCs w:val="24"/>
        </w:rPr>
      </w:pPr>
      <w:r w:rsidRPr="00457024">
        <w:rPr>
          <w:rFonts w:ascii="Times New Roman" w:hAnsi="Times New Roman" w:cs="Times New Roman"/>
          <w:sz w:val="24"/>
          <w:szCs w:val="24"/>
        </w:rPr>
        <w:tab/>
      </w:r>
      <w:r w:rsidR="00757B86" w:rsidRPr="00457024">
        <w:rPr>
          <w:rFonts w:ascii="Times New Roman" w:hAnsi="Times New Roman" w:cs="Times New Roman"/>
          <w:i/>
          <w:iCs/>
          <w:sz w:val="24"/>
          <w:szCs w:val="24"/>
        </w:rPr>
        <w:t xml:space="preserve">Alvarez </w:t>
      </w:r>
      <w:r w:rsidR="00757B86" w:rsidRPr="00457024">
        <w:rPr>
          <w:rFonts w:ascii="Times New Roman" w:hAnsi="Times New Roman" w:cs="Times New Roman"/>
          <w:sz w:val="24"/>
          <w:szCs w:val="24"/>
        </w:rPr>
        <w:t>demonstrated an instance</w:t>
      </w:r>
      <w:r w:rsidR="00302F60" w:rsidRPr="00457024">
        <w:rPr>
          <w:rFonts w:ascii="Times New Roman" w:hAnsi="Times New Roman" w:cs="Times New Roman"/>
          <w:sz w:val="24"/>
          <w:szCs w:val="24"/>
        </w:rPr>
        <w:t xml:space="preserve"> where the court addressed </w:t>
      </w:r>
      <w:r w:rsidR="00757B86" w:rsidRPr="00457024">
        <w:rPr>
          <w:rFonts w:ascii="Times New Roman" w:hAnsi="Times New Roman" w:cs="Times New Roman"/>
          <w:sz w:val="24"/>
          <w:szCs w:val="24"/>
        </w:rPr>
        <w:t>whether ineffective assistance to counsel</w:t>
      </w:r>
      <w:r w:rsidR="00302F60" w:rsidRPr="00457024">
        <w:rPr>
          <w:rFonts w:ascii="Times New Roman" w:hAnsi="Times New Roman" w:cs="Times New Roman"/>
          <w:sz w:val="24"/>
          <w:szCs w:val="24"/>
        </w:rPr>
        <w:t xml:space="preserve"> violated a person’s due process.</w:t>
      </w:r>
      <w:r w:rsidR="00757B86" w:rsidRPr="00457024">
        <w:rPr>
          <w:rFonts w:ascii="Times New Roman" w:hAnsi="Times New Roman" w:cs="Times New Roman"/>
          <w:sz w:val="24"/>
          <w:szCs w:val="24"/>
        </w:rPr>
        <w:t xml:space="preserve"> </w:t>
      </w:r>
      <w:r w:rsidR="00880DAC" w:rsidRPr="00457024">
        <w:rPr>
          <w:rFonts w:ascii="Times New Roman" w:hAnsi="Times New Roman" w:cs="Times New Roman"/>
          <w:sz w:val="24"/>
          <w:szCs w:val="24"/>
        </w:rPr>
        <w:t xml:space="preserve">62 Mass. App. Ct. at 872. </w:t>
      </w:r>
      <w:r w:rsidRPr="00457024">
        <w:rPr>
          <w:rFonts w:ascii="Times New Roman" w:hAnsi="Times New Roman" w:cs="Times New Roman"/>
          <w:sz w:val="24"/>
          <w:szCs w:val="24"/>
        </w:rPr>
        <w:t xml:space="preserve">A relatively short amount of time to prepare for a trial is insufficient, on its own, to count as failure to prepare for trial. </w:t>
      </w:r>
      <w:r w:rsidR="009E1400" w:rsidRPr="00457024">
        <w:rPr>
          <w:rFonts w:ascii="Times New Roman" w:hAnsi="Times New Roman" w:cs="Times New Roman"/>
          <w:sz w:val="24"/>
          <w:szCs w:val="24"/>
        </w:rPr>
        <w:t xml:space="preserve">An attorney not insisting on </w:t>
      </w:r>
      <w:r w:rsidRPr="00457024">
        <w:rPr>
          <w:rFonts w:ascii="Times New Roman" w:hAnsi="Times New Roman" w:cs="Times New Roman"/>
          <w:sz w:val="24"/>
          <w:szCs w:val="24"/>
        </w:rPr>
        <w:t>a continuance</w:t>
      </w:r>
      <w:r w:rsidR="009E1400" w:rsidRPr="00457024">
        <w:rPr>
          <w:rFonts w:ascii="Times New Roman" w:hAnsi="Times New Roman" w:cs="Times New Roman"/>
          <w:sz w:val="24"/>
          <w:szCs w:val="24"/>
        </w:rPr>
        <w:t xml:space="preserve"> for trial when having a short amount of time to prepare is not, by itself</w:t>
      </w:r>
      <w:r w:rsidRPr="00457024">
        <w:rPr>
          <w:rFonts w:ascii="Times New Roman" w:hAnsi="Times New Roman" w:cs="Times New Roman"/>
          <w:sz w:val="24"/>
          <w:szCs w:val="24"/>
        </w:rPr>
        <w:t>, grounds</w:t>
      </w:r>
      <w:r w:rsidR="009E1400" w:rsidRPr="00457024">
        <w:rPr>
          <w:rFonts w:ascii="Times New Roman" w:hAnsi="Times New Roman" w:cs="Times New Roman"/>
          <w:sz w:val="24"/>
          <w:szCs w:val="24"/>
        </w:rPr>
        <w:t xml:space="preserve"> for a reversal</w:t>
      </w:r>
      <w:r w:rsidRPr="00457024">
        <w:rPr>
          <w:rFonts w:ascii="Times New Roman" w:hAnsi="Times New Roman" w:cs="Times New Roman"/>
          <w:sz w:val="24"/>
          <w:szCs w:val="24"/>
        </w:rPr>
        <w:t xml:space="preserve">. </w:t>
      </w:r>
      <w:r w:rsidR="009E1400" w:rsidRPr="00457024">
        <w:rPr>
          <w:rFonts w:ascii="Times New Roman" w:hAnsi="Times New Roman" w:cs="Times New Roman"/>
          <w:sz w:val="24"/>
          <w:szCs w:val="24"/>
        </w:rPr>
        <w:t xml:space="preserve">Courts will consider </w:t>
      </w:r>
      <w:r w:rsidRPr="00457024">
        <w:rPr>
          <w:rFonts w:ascii="Times New Roman" w:hAnsi="Times New Roman" w:cs="Times New Roman"/>
          <w:sz w:val="24"/>
          <w:szCs w:val="24"/>
        </w:rPr>
        <w:t>whether an attorney consults with his or her client and the whether the litigation strategy is informed. Agreement to the very strategy being used as grounds for an appeal will make it less likely the appellant will prevail. D</w:t>
      </w:r>
      <w:r w:rsidR="001343F3" w:rsidRPr="00457024">
        <w:rPr>
          <w:rFonts w:ascii="Times New Roman" w:hAnsi="Times New Roman" w:cs="Times New Roman"/>
          <w:sz w:val="24"/>
          <w:szCs w:val="24"/>
        </w:rPr>
        <w:t>eterminations of ineffectiveness s</w:t>
      </w:r>
      <w:r w:rsidRPr="00457024">
        <w:rPr>
          <w:rFonts w:ascii="Times New Roman" w:hAnsi="Times New Roman" w:cs="Times New Roman"/>
          <w:sz w:val="24"/>
          <w:szCs w:val="24"/>
        </w:rPr>
        <w:t>hall not</w:t>
      </w:r>
      <w:r w:rsidR="001343F3" w:rsidRPr="00457024">
        <w:rPr>
          <w:rFonts w:ascii="Times New Roman" w:hAnsi="Times New Roman" w:cs="Times New Roman"/>
          <w:sz w:val="24"/>
          <w:szCs w:val="24"/>
        </w:rPr>
        <w:t xml:space="preserve"> be made according to a pre-established timeline, but rather on a case-by-case basis.</w:t>
      </w:r>
      <w:r w:rsidR="00145725" w:rsidRPr="00457024">
        <w:rPr>
          <w:rFonts w:ascii="Times New Roman" w:hAnsi="Times New Roman" w:cs="Times New Roman"/>
          <w:sz w:val="24"/>
          <w:szCs w:val="24"/>
        </w:rPr>
        <w:t xml:space="preserve"> </w:t>
      </w:r>
    </w:p>
    <w:p w14:paraId="77FF14AE" w14:textId="17B3AC86" w:rsidR="000B5246" w:rsidRDefault="00457024" w:rsidP="00457024">
      <w:pPr>
        <w:pStyle w:val="NoSpacing"/>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iCs/>
          <w:sz w:val="24"/>
          <w:szCs w:val="24"/>
        </w:rPr>
        <w:t>A</w:t>
      </w:r>
      <w:r w:rsidR="0050317E" w:rsidRPr="00457024">
        <w:rPr>
          <w:rFonts w:ascii="Times New Roman" w:hAnsi="Times New Roman" w:cs="Times New Roman"/>
          <w:iCs/>
          <w:sz w:val="24"/>
          <w:szCs w:val="24"/>
        </w:rPr>
        <w:t xml:space="preserve">s demonstrated in the </w:t>
      </w:r>
      <w:r w:rsidR="0050317E" w:rsidRPr="00457024">
        <w:rPr>
          <w:rFonts w:ascii="Times New Roman" w:hAnsi="Times New Roman" w:cs="Times New Roman"/>
          <w:i/>
          <w:sz w:val="24"/>
          <w:szCs w:val="24"/>
        </w:rPr>
        <w:t xml:space="preserve">Gonzalez </w:t>
      </w:r>
      <w:r w:rsidR="0050317E" w:rsidRPr="00457024">
        <w:rPr>
          <w:rFonts w:ascii="Times New Roman" w:hAnsi="Times New Roman" w:cs="Times New Roman"/>
          <w:iCs/>
          <w:sz w:val="24"/>
          <w:szCs w:val="24"/>
        </w:rPr>
        <w:t xml:space="preserve">case, </w:t>
      </w:r>
      <w:r w:rsidR="0050317E" w:rsidRPr="00457024">
        <w:rPr>
          <w:rFonts w:ascii="Times New Roman" w:hAnsi="Times New Roman" w:cs="Times New Roman"/>
          <w:sz w:val="24"/>
          <w:szCs w:val="24"/>
          <w:shd w:val="clear" w:color="auto" w:fill="FFFFFF"/>
        </w:rPr>
        <w:t>an</w:t>
      </w:r>
      <w:r w:rsidR="000B5246" w:rsidRPr="00457024">
        <w:rPr>
          <w:rFonts w:ascii="Times New Roman" w:hAnsi="Times New Roman" w:cs="Times New Roman"/>
          <w:sz w:val="24"/>
          <w:szCs w:val="24"/>
          <w:shd w:val="clear" w:color="auto" w:fill="FFFFFF"/>
        </w:rPr>
        <w:t xml:space="preserve"> error by counsel</w:t>
      </w:r>
      <w:r w:rsidR="0050317E" w:rsidRPr="00457024">
        <w:rPr>
          <w:rFonts w:ascii="Times New Roman" w:hAnsi="Times New Roman" w:cs="Times New Roman"/>
          <w:sz w:val="24"/>
          <w:szCs w:val="24"/>
          <w:shd w:val="clear" w:color="auto" w:fill="FFFFFF"/>
        </w:rPr>
        <w:t xml:space="preserve"> (</w:t>
      </w:r>
      <w:r w:rsidR="000B5246" w:rsidRPr="00457024">
        <w:rPr>
          <w:rFonts w:ascii="Times New Roman" w:hAnsi="Times New Roman" w:cs="Times New Roman"/>
          <w:sz w:val="24"/>
          <w:szCs w:val="24"/>
          <w:shd w:val="clear" w:color="auto" w:fill="FFFFFF"/>
        </w:rPr>
        <w:t>even if professionally unreasonable</w:t>
      </w:r>
      <w:r w:rsidR="0050317E" w:rsidRPr="00457024">
        <w:rPr>
          <w:rFonts w:ascii="Times New Roman" w:hAnsi="Times New Roman" w:cs="Times New Roman"/>
          <w:sz w:val="24"/>
          <w:szCs w:val="24"/>
          <w:shd w:val="clear" w:color="auto" w:fill="FFFFFF"/>
        </w:rPr>
        <w:t>)</w:t>
      </w:r>
      <w:r w:rsidR="000B5246" w:rsidRPr="00457024">
        <w:rPr>
          <w:rFonts w:ascii="Times New Roman" w:hAnsi="Times New Roman" w:cs="Times New Roman"/>
          <w:sz w:val="24"/>
          <w:szCs w:val="24"/>
          <w:shd w:val="clear" w:color="auto" w:fill="FFFFFF"/>
        </w:rPr>
        <w:t xml:space="preserve"> does not warrant setting aside the judgment of a criminal proceeding if the error </w:t>
      </w:r>
      <w:r w:rsidR="000B5246" w:rsidRPr="00457024">
        <w:rPr>
          <w:rFonts w:ascii="Times New Roman" w:hAnsi="Times New Roman" w:cs="Times New Roman"/>
          <w:i/>
          <w:iCs/>
          <w:sz w:val="24"/>
          <w:szCs w:val="24"/>
          <w:shd w:val="clear" w:color="auto" w:fill="FFFFFF"/>
        </w:rPr>
        <w:t>had no effect</w:t>
      </w:r>
      <w:r w:rsidR="000B5246" w:rsidRPr="00457024">
        <w:rPr>
          <w:rFonts w:ascii="Times New Roman" w:hAnsi="Times New Roman" w:cs="Times New Roman"/>
          <w:sz w:val="24"/>
          <w:szCs w:val="24"/>
          <w:shd w:val="clear" w:color="auto" w:fill="FFFFFF"/>
        </w:rPr>
        <w:t xml:space="preserve"> on the judgment</w:t>
      </w:r>
      <w:r w:rsidR="0050317E" w:rsidRPr="00457024">
        <w:rPr>
          <w:rFonts w:ascii="Times New Roman" w:hAnsi="Times New Roman" w:cs="Times New Roman"/>
          <w:sz w:val="24"/>
          <w:szCs w:val="24"/>
          <w:shd w:val="clear" w:color="auto" w:fill="FFFFFF"/>
        </w:rPr>
        <w:t>.</w:t>
      </w:r>
      <w:r w:rsidR="000B5246" w:rsidRPr="00457024">
        <w:rPr>
          <w:rFonts w:ascii="Times New Roman" w:hAnsi="Times New Roman" w:cs="Times New Roman"/>
          <w:sz w:val="24"/>
          <w:szCs w:val="24"/>
          <w:shd w:val="clear" w:color="auto" w:fill="FFFFFF"/>
        </w:rPr>
        <w:t xml:space="preserve"> </w:t>
      </w:r>
      <w:r w:rsidRPr="00457024">
        <w:rPr>
          <w:rFonts w:ascii="Times New Roman" w:hAnsi="Times New Roman" w:cs="Times New Roman"/>
          <w:sz w:val="24"/>
          <w:szCs w:val="24"/>
        </w:rPr>
        <w:t xml:space="preserve">473 Mass. at 422. </w:t>
      </w:r>
      <w:r w:rsidR="0050317E" w:rsidRPr="00457024">
        <w:rPr>
          <w:rFonts w:ascii="Times New Roman" w:hAnsi="Times New Roman" w:cs="Times New Roman"/>
          <w:sz w:val="24"/>
          <w:szCs w:val="24"/>
          <w:shd w:val="clear" w:color="auto" w:fill="FFFFFF"/>
        </w:rPr>
        <w:t xml:space="preserve">To have standing for a favorable appeal, actual prejudice must have resulted from the error. </w:t>
      </w:r>
    </w:p>
    <w:p w14:paraId="62EE57A3" w14:textId="7508530D" w:rsidR="00457024" w:rsidRPr="00B42CEF" w:rsidRDefault="00457024" w:rsidP="00457024">
      <w:pPr>
        <w:pStyle w:val="NoSpacing"/>
        <w:spacing w:line="480" w:lineRule="auto"/>
        <w:ind w:firstLine="720"/>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If evidence speaks to the “only issue in the case” or is central to the case, there is a chance that counsel’s failure to pursue that evidence will render them ineffective. </w:t>
      </w:r>
      <w:r>
        <w:rPr>
          <w:rFonts w:ascii="Times New Roman" w:hAnsi="Times New Roman" w:cs="Times New Roman"/>
          <w:i/>
          <w:iCs/>
          <w:sz w:val="24"/>
          <w:szCs w:val="24"/>
        </w:rPr>
        <w:t xml:space="preserve">Ly, </w:t>
      </w:r>
      <w:r>
        <w:rPr>
          <w:rFonts w:ascii="Times New Roman" w:hAnsi="Times New Roman" w:cs="Times New Roman"/>
          <w:sz w:val="24"/>
          <w:szCs w:val="24"/>
        </w:rPr>
        <w:t xml:space="preserve">454 Mass. at 230. </w:t>
      </w:r>
      <w:r>
        <w:rPr>
          <w:rFonts w:ascii="Times New Roman" w:hAnsi="Times New Roman" w:cs="Times New Roman"/>
          <w:sz w:val="24"/>
          <w:szCs w:val="24"/>
          <w:shd w:val="clear" w:color="auto" w:fill="FFFFFF"/>
        </w:rPr>
        <w:t xml:space="preserve">For example, the phone records in </w:t>
      </w:r>
      <w:r>
        <w:rPr>
          <w:rFonts w:ascii="Times New Roman" w:hAnsi="Times New Roman" w:cs="Times New Roman"/>
          <w:i/>
          <w:iCs/>
          <w:sz w:val="24"/>
          <w:szCs w:val="24"/>
          <w:shd w:val="clear" w:color="auto" w:fill="FFFFFF"/>
        </w:rPr>
        <w:t xml:space="preserve">Ly </w:t>
      </w:r>
      <w:r>
        <w:rPr>
          <w:rFonts w:ascii="Times New Roman" w:hAnsi="Times New Roman" w:cs="Times New Roman"/>
          <w:sz w:val="24"/>
          <w:szCs w:val="24"/>
          <w:shd w:val="clear" w:color="auto" w:fill="FFFFFF"/>
        </w:rPr>
        <w:t xml:space="preserve">were central to the issue at trial; a zealous advocate would not have failed to procure those records. </w:t>
      </w:r>
      <w:r w:rsidR="00B42CEF">
        <w:rPr>
          <w:rFonts w:ascii="Times New Roman" w:hAnsi="Times New Roman" w:cs="Times New Roman"/>
          <w:i/>
          <w:iCs/>
          <w:sz w:val="24"/>
          <w:szCs w:val="24"/>
          <w:shd w:val="clear" w:color="auto" w:fill="FFFFFF"/>
        </w:rPr>
        <w:t>Id.</w:t>
      </w:r>
    </w:p>
    <w:p w14:paraId="620ADC68" w14:textId="1B6D9CC8" w:rsidR="00457024" w:rsidRPr="00FB6A14" w:rsidRDefault="00457024" w:rsidP="0045702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Counsel’s </w:t>
      </w:r>
      <w:r w:rsidRPr="00FB6A14">
        <w:rPr>
          <w:rFonts w:ascii="Times New Roman" w:hAnsi="Times New Roman" w:cs="Times New Roman"/>
          <w:sz w:val="24"/>
          <w:szCs w:val="24"/>
        </w:rPr>
        <w:t>lack of preparation</w:t>
      </w:r>
      <w:r>
        <w:rPr>
          <w:rFonts w:ascii="Times New Roman" w:hAnsi="Times New Roman" w:cs="Times New Roman"/>
          <w:sz w:val="24"/>
          <w:szCs w:val="24"/>
        </w:rPr>
        <w:t xml:space="preserve"> </w:t>
      </w:r>
      <w:r w:rsidR="00B42CEF">
        <w:rPr>
          <w:rFonts w:ascii="Times New Roman" w:hAnsi="Times New Roman" w:cs="Times New Roman"/>
          <w:sz w:val="24"/>
          <w:szCs w:val="24"/>
        </w:rPr>
        <w:t xml:space="preserve">(i.e. not pursuing an obvious lead) </w:t>
      </w:r>
      <w:r>
        <w:rPr>
          <w:rFonts w:ascii="Times New Roman" w:hAnsi="Times New Roman" w:cs="Times New Roman"/>
          <w:sz w:val="24"/>
          <w:szCs w:val="24"/>
        </w:rPr>
        <w:t xml:space="preserve">can effectively leave the defendant without counsel, no better off than if they appeared </w:t>
      </w:r>
      <w:r w:rsidR="00B42CEF">
        <w:rPr>
          <w:rFonts w:ascii="Times New Roman" w:hAnsi="Times New Roman" w:cs="Times New Roman"/>
          <w:i/>
          <w:iCs/>
          <w:sz w:val="24"/>
          <w:szCs w:val="24"/>
        </w:rPr>
        <w:t xml:space="preserve">pro se. </w:t>
      </w:r>
      <w:r w:rsidR="00B42CEF" w:rsidRPr="00A06125">
        <w:rPr>
          <w:rFonts w:ascii="Times New Roman" w:hAnsi="Times New Roman" w:cs="Times New Roman"/>
          <w:i/>
          <w:sz w:val="24"/>
          <w:szCs w:val="24"/>
        </w:rPr>
        <w:t>Farley</w:t>
      </w:r>
      <w:r w:rsidR="00B42CEF" w:rsidRPr="00FB6A14">
        <w:rPr>
          <w:rFonts w:ascii="Times New Roman" w:hAnsi="Times New Roman" w:cs="Times New Roman"/>
          <w:sz w:val="24"/>
          <w:szCs w:val="24"/>
        </w:rPr>
        <w:t>, 432 Mass. at 156.</w:t>
      </w:r>
      <w:r w:rsidR="00B42CEF">
        <w:rPr>
          <w:rFonts w:ascii="Times New Roman" w:hAnsi="Times New Roman" w:cs="Times New Roman"/>
          <w:sz w:val="24"/>
          <w:szCs w:val="24"/>
        </w:rPr>
        <w:t xml:space="preserve"> Such a lack of preparation has the danger to</w:t>
      </w:r>
      <w:r>
        <w:rPr>
          <w:rFonts w:ascii="Times New Roman" w:hAnsi="Times New Roman" w:cs="Times New Roman"/>
          <w:sz w:val="24"/>
          <w:szCs w:val="24"/>
        </w:rPr>
        <w:t xml:space="preserve"> </w:t>
      </w:r>
      <w:r w:rsidR="00B42CEF">
        <w:rPr>
          <w:rFonts w:ascii="Times New Roman" w:hAnsi="Times New Roman" w:cs="Times New Roman"/>
          <w:sz w:val="24"/>
          <w:szCs w:val="24"/>
        </w:rPr>
        <w:t>deny the client</w:t>
      </w:r>
      <w:r w:rsidRPr="00FB6A14">
        <w:rPr>
          <w:rFonts w:ascii="Times New Roman" w:hAnsi="Times New Roman" w:cs="Times New Roman"/>
          <w:sz w:val="24"/>
          <w:szCs w:val="24"/>
        </w:rPr>
        <w:t xml:space="preserve"> a fair trial. </w:t>
      </w:r>
      <w:r w:rsidRPr="00A06125">
        <w:rPr>
          <w:rFonts w:ascii="Times New Roman" w:hAnsi="Times New Roman" w:cs="Times New Roman"/>
          <w:i/>
          <w:sz w:val="24"/>
          <w:szCs w:val="24"/>
        </w:rPr>
        <w:t>Farley</w:t>
      </w:r>
      <w:r w:rsidRPr="00FB6A14">
        <w:rPr>
          <w:rFonts w:ascii="Times New Roman" w:hAnsi="Times New Roman" w:cs="Times New Roman"/>
          <w:sz w:val="24"/>
          <w:szCs w:val="24"/>
        </w:rPr>
        <w:t>, 432 Mass. at 157.</w:t>
      </w:r>
    </w:p>
    <w:p w14:paraId="71A3B373" w14:textId="55B67698" w:rsidR="00457024" w:rsidRPr="00457024" w:rsidRDefault="00457024" w:rsidP="00457024">
      <w:pPr>
        <w:pStyle w:val="NoSpacing"/>
        <w:spacing w:line="480" w:lineRule="auto"/>
        <w:ind w:firstLine="720"/>
        <w:jc w:val="both"/>
        <w:rPr>
          <w:rFonts w:ascii="Times New Roman" w:hAnsi="Times New Roman" w:cs="Times New Roman"/>
          <w:sz w:val="24"/>
          <w:szCs w:val="24"/>
        </w:rPr>
      </w:pPr>
    </w:p>
    <w:sectPr w:rsidR="00457024" w:rsidRPr="0045702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3B05" w14:textId="77777777" w:rsidR="0002454D" w:rsidRDefault="0002454D" w:rsidP="00CD799D">
      <w:pPr>
        <w:spacing w:after="0" w:line="240" w:lineRule="auto"/>
      </w:pPr>
      <w:r>
        <w:separator/>
      </w:r>
    </w:p>
  </w:endnote>
  <w:endnote w:type="continuationSeparator" w:id="0">
    <w:p w14:paraId="2CA679D8" w14:textId="77777777" w:rsidR="0002454D" w:rsidRDefault="0002454D" w:rsidP="00CD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046539"/>
      <w:docPartObj>
        <w:docPartGallery w:val="Page Numbers (Bottom of Page)"/>
        <w:docPartUnique/>
      </w:docPartObj>
    </w:sdtPr>
    <w:sdtEndPr>
      <w:rPr>
        <w:noProof/>
      </w:rPr>
    </w:sdtEndPr>
    <w:sdtContent>
      <w:p w14:paraId="77FA22BA" w14:textId="11AFCD06" w:rsidR="00F44C73" w:rsidRDefault="00F44C73">
        <w:pPr>
          <w:pStyle w:val="Footer"/>
          <w:jc w:val="right"/>
        </w:pPr>
        <w:r>
          <w:fldChar w:fldCharType="begin"/>
        </w:r>
        <w:r>
          <w:instrText xml:space="preserve"> PAGE   \* MERGEFORMAT </w:instrText>
        </w:r>
        <w:r>
          <w:fldChar w:fldCharType="separate"/>
        </w:r>
        <w:r w:rsidR="00D02C4B">
          <w:rPr>
            <w:noProof/>
          </w:rPr>
          <w:t>1</w:t>
        </w:r>
        <w:r>
          <w:rPr>
            <w:noProof/>
          </w:rPr>
          <w:fldChar w:fldCharType="end"/>
        </w:r>
      </w:p>
    </w:sdtContent>
  </w:sdt>
  <w:p w14:paraId="5A3AD052" w14:textId="77777777" w:rsidR="00F44C73" w:rsidRDefault="00F44C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6967" w14:textId="77777777" w:rsidR="0002454D" w:rsidRDefault="0002454D" w:rsidP="00CD799D">
      <w:pPr>
        <w:spacing w:after="0" w:line="240" w:lineRule="auto"/>
      </w:pPr>
      <w:r>
        <w:separator/>
      </w:r>
    </w:p>
  </w:footnote>
  <w:footnote w:type="continuationSeparator" w:id="0">
    <w:p w14:paraId="3D2CBC42" w14:textId="77777777" w:rsidR="0002454D" w:rsidRDefault="0002454D" w:rsidP="00CD799D">
      <w:pPr>
        <w:spacing w:after="0" w:line="240" w:lineRule="auto"/>
      </w:pPr>
      <w:r>
        <w:continuationSeparator/>
      </w:r>
    </w:p>
  </w:footnote>
  <w:footnote w:id="1">
    <w:p w14:paraId="6BBA9811" w14:textId="391F9BA6" w:rsidR="000E6D42" w:rsidRPr="000E6D42" w:rsidRDefault="000E6D42" w:rsidP="00757B86">
      <w:pPr>
        <w:pStyle w:val="FootnoteText"/>
        <w:jc w:val="both"/>
        <w:rPr>
          <w:rFonts w:ascii="Times New Roman" w:hAnsi="Times New Roman" w:cs="Times New Roman"/>
        </w:rPr>
      </w:pPr>
      <w:r w:rsidRPr="00757B86">
        <w:rPr>
          <w:rStyle w:val="FootnoteReference"/>
          <w:rFonts w:ascii="Times New Roman" w:hAnsi="Times New Roman" w:cs="Times New Roman"/>
        </w:rPr>
        <w:footnoteRef/>
      </w:r>
      <w:r w:rsidRPr="00757B86">
        <w:rPr>
          <w:rFonts w:ascii="Times New Roman" w:hAnsi="Times New Roman" w:cs="Times New Roman"/>
        </w:rPr>
        <w:t xml:space="preserve"> In pertinent part, the Massachusetts Declaration of Rights of the Massachusetts Constitution provides that no state shall “deprive any person of life, liberty, or property, without due process of law.” Mass. Declaration of Rights, Art. 10 (ratified October 25, 1780). Article 10 has been labeled as “a primary source of due process jurisprudence in Massachusetts. [This includes] substantive due…[or] procedural due process [which] refers to the constitutional</w:t>
      </w:r>
      <w:r>
        <w:rPr>
          <w:rFonts w:ascii="Times New Roman" w:hAnsi="Times New Roman" w:cs="Times New Roman"/>
        </w:rPr>
        <w:t xml:space="preserve"> requirement that governmental action be implemented in a fair manner…” Lawrence Friedman and Lynnea Thody, </w:t>
      </w:r>
      <w:r>
        <w:rPr>
          <w:rFonts w:ascii="Times New Roman" w:hAnsi="Times New Roman" w:cs="Times New Roman"/>
          <w:i/>
          <w:iCs/>
        </w:rPr>
        <w:t xml:space="preserve">The Massachusetts State Constitution, </w:t>
      </w:r>
      <w:r>
        <w:rPr>
          <w:rFonts w:ascii="Times New Roman" w:hAnsi="Times New Roman" w:cs="Times New Roman"/>
        </w:rPr>
        <w:t>Oxford University Press, p. 50-51 (2011).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AB5"/>
    <w:multiLevelType w:val="hybridMultilevel"/>
    <w:tmpl w:val="AE3A6908"/>
    <w:lvl w:ilvl="0" w:tplc="E22403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300E"/>
    <w:multiLevelType w:val="hybridMultilevel"/>
    <w:tmpl w:val="59627EB8"/>
    <w:lvl w:ilvl="0" w:tplc="E1DEB30A">
      <w:start w:val="1"/>
      <w:numFmt w:val="upperRoman"/>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A6671"/>
    <w:multiLevelType w:val="hybridMultilevel"/>
    <w:tmpl w:val="0B38D08E"/>
    <w:lvl w:ilvl="0" w:tplc="5D668D1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935F4"/>
    <w:multiLevelType w:val="hybridMultilevel"/>
    <w:tmpl w:val="0DF6F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A63AB"/>
    <w:multiLevelType w:val="hybridMultilevel"/>
    <w:tmpl w:val="31B45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C6"/>
    <w:rsid w:val="0002454D"/>
    <w:rsid w:val="00063E41"/>
    <w:rsid w:val="000763CA"/>
    <w:rsid w:val="0009343A"/>
    <w:rsid w:val="000B42B2"/>
    <w:rsid w:val="000B5246"/>
    <w:rsid w:val="000E6D42"/>
    <w:rsid w:val="00100F26"/>
    <w:rsid w:val="00114FC3"/>
    <w:rsid w:val="001343F3"/>
    <w:rsid w:val="001353CC"/>
    <w:rsid w:val="00144E55"/>
    <w:rsid w:val="00145725"/>
    <w:rsid w:val="00180637"/>
    <w:rsid w:val="001B0B92"/>
    <w:rsid w:val="001B4997"/>
    <w:rsid w:val="001C6527"/>
    <w:rsid w:val="001F50E3"/>
    <w:rsid w:val="00211112"/>
    <w:rsid w:val="00240082"/>
    <w:rsid w:val="0024560E"/>
    <w:rsid w:val="0028677C"/>
    <w:rsid w:val="002B63CF"/>
    <w:rsid w:val="002E33CF"/>
    <w:rsid w:val="0030054B"/>
    <w:rsid w:val="00302F60"/>
    <w:rsid w:val="00303255"/>
    <w:rsid w:val="003268BC"/>
    <w:rsid w:val="003465C4"/>
    <w:rsid w:val="003C34BB"/>
    <w:rsid w:val="00404AA1"/>
    <w:rsid w:val="004361D0"/>
    <w:rsid w:val="00457024"/>
    <w:rsid w:val="00473C4F"/>
    <w:rsid w:val="00487125"/>
    <w:rsid w:val="004B0105"/>
    <w:rsid w:val="004C6B8A"/>
    <w:rsid w:val="004C76A7"/>
    <w:rsid w:val="004D5650"/>
    <w:rsid w:val="004F6073"/>
    <w:rsid w:val="0050317E"/>
    <w:rsid w:val="00511293"/>
    <w:rsid w:val="00517337"/>
    <w:rsid w:val="0058255A"/>
    <w:rsid w:val="005861AA"/>
    <w:rsid w:val="005C0B4F"/>
    <w:rsid w:val="005C55E4"/>
    <w:rsid w:val="005F064B"/>
    <w:rsid w:val="0063695A"/>
    <w:rsid w:val="00647B84"/>
    <w:rsid w:val="00655A05"/>
    <w:rsid w:val="006C282D"/>
    <w:rsid w:val="006D198F"/>
    <w:rsid w:val="007011D6"/>
    <w:rsid w:val="00725148"/>
    <w:rsid w:val="007324BA"/>
    <w:rsid w:val="00734C97"/>
    <w:rsid w:val="007579B6"/>
    <w:rsid w:val="00757B86"/>
    <w:rsid w:val="0076296F"/>
    <w:rsid w:val="0079378B"/>
    <w:rsid w:val="007A4FE1"/>
    <w:rsid w:val="007C0D40"/>
    <w:rsid w:val="007C581B"/>
    <w:rsid w:val="007F6A96"/>
    <w:rsid w:val="00806A1A"/>
    <w:rsid w:val="00813C3B"/>
    <w:rsid w:val="00815549"/>
    <w:rsid w:val="00880CEB"/>
    <w:rsid w:val="00880DAC"/>
    <w:rsid w:val="008A2490"/>
    <w:rsid w:val="008A3945"/>
    <w:rsid w:val="009C0E33"/>
    <w:rsid w:val="009D44E4"/>
    <w:rsid w:val="009E1400"/>
    <w:rsid w:val="009E4D3B"/>
    <w:rsid w:val="009E6DFD"/>
    <w:rsid w:val="00A06125"/>
    <w:rsid w:val="00A11C4F"/>
    <w:rsid w:val="00A455AD"/>
    <w:rsid w:val="00A50CCE"/>
    <w:rsid w:val="00A7778A"/>
    <w:rsid w:val="00A93D29"/>
    <w:rsid w:val="00AB0EB4"/>
    <w:rsid w:val="00AD34DF"/>
    <w:rsid w:val="00AE1AB0"/>
    <w:rsid w:val="00B41C49"/>
    <w:rsid w:val="00B42CEF"/>
    <w:rsid w:val="00B800AF"/>
    <w:rsid w:val="00B876AD"/>
    <w:rsid w:val="00BB13E5"/>
    <w:rsid w:val="00BF1719"/>
    <w:rsid w:val="00C172C6"/>
    <w:rsid w:val="00C218F9"/>
    <w:rsid w:val="00C23E27"/>
    <w:rsid w:val="00C33C15"/>
    <w:rsid w:val="00C33CBB"/>
    <w:rsid w:val="00C61ADF"/>
    <w:rsid w:val="00C62EE0"/>
    <w:rsid w:val="00C66121"/>
    <w:rsid w:val="00C74E1A"/>
    <w:rsid w:val="00CD799D"/>
    <w:rsid w:val="00D02C4B"/>
    <w:rsid w:val="00D335B6"/>
    <w:rsid w:val="00D43273"/>
    <w:rsid w:val="00D50653"/>
    <w:rsid w:val="00D71332"/>
    <w:rsid w:val="00D76765"/>
    <w:rsid w:val="00D81FCD"/>
    <w:rsid w:val="00DB3FAC"/>
    <w:rsid w:val="00DC380C"/>
    <w:rsid w:val="00DE6C2E"/>
    <w:rsid w:val="00E15EC6"/>
    <w:rsid w:val="00E175A4"/>
    <w:rsid w:val="00E51BC6"/>
    <w:rsid w:val="00E52A9C"/>
    <w:rsid w:val="00E77126"/>
    <w:rsid w:val="00E91A8D"/>
    <w:rsid w:val="00EC6933"/>
    <w:rsid w:val="00EC7496"/>
    <w:rsid w:val="00F069FA"/>
    <w:rsid w:val="00F11476"/>
    <w:rsid w:val="00F169CE"/>
    <w:rsid w:val="00F44C73"/>
    <w:rsid w:val="00FA38C6"/>
    <w:rsid w:val="00FB45A3"/>
    <w:rsid w:val="00FB6A14"/>
    <w:rsid w:val="00FD5771"/>
    <w:rsid w:val="00FE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E5CA"/>
  <w15:docId w15:val="{D5ED377E-D133-41D5-B4F2-D39010AF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A3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FA38C6"/>
    <w:rPr>
      <w:rFonts w:ascii="Times New Roman" w:eastAsia="Times New Roman" w:hAnsi="Times New Roman" w:cs="Times New Roman"/>
      <w:sz w:val="24"/>
      <w:szCs w:val="24"/>
    </w:rPr>
  </w:style>
  <w:style w:type="character" w:customStyle="1" w:styleId="costarpage">
    <w:name w:val="co_starpage"/>
    <w:basedOn w:val="DefaultParagraphFont"/>
    <w:rsid w:val="00D81FCD"/>
  </w:style>
  <w:style w:type="character" w:styleId="Hyperlink">
    <w:name w:val="Hyperlink"/>
    <w:basedOn w:val="DefaultParagraphFont"/>
    <w:uiPriority w:val="99"/>
    <w:semiHidden/>
    <w:unhideWhenUsed/>
    <w:rsid w:val="00880CEB"/>
    <w:rPr>
      <w:color w:val="0000FF"/>
      <w:u w:val="single"/>
    </w:rPr>
  </w:style>
  <w:style w:type="paragraph" w:styleId="NoSpacing">
    <w:name w:val="No Spacing"/>
    <w:uiPriority w:val="1"/>
    <w:qFormat/>
    <w:rsid w:val="00E15EC6"/>
    <w:pPr>
      <w:spacing w:after="0" w:line="240" w:lineRule="auto"/>
    </w:pPr>
  </w:style>
  <w:style w:type="character" w:styleId="CommentReference">
    <w:name w:val="annotation reference"/>
    <w:basedOn w:val="DefaultParagraphFont"/>
    <w:uiPriority w:val="99"/>
    <w:semiHidden/>
    <w:unhideWhenUsed/>
    <w:rsid w:val="00E91A8D"/>
    <w:rPr>
      <w:sz w:val="16"/>
      <w:szCs w:val="16"/>
    </w:rPr>
  </w:style>
  <w:style w:type="paragraph" w:styleId="CommentText">
    <w:name w:val="annotation text"/>
    <w:basedOn w:val="Normal"/>
    <w:link w:val="CommentTextChar"/>
    <w:uiPriority w:val="99"/>
    <w:unhideWhenUsed/>
    <w:rsid w:val="00E91A8D"/>
    <w:pPr>
      <w:spacing w:line="240" w:lineRule="auto"/>
    </w:pPr>
    <w:rPr>
      <w:sz w:val="20"/>
      <w:szCs w:val="20"/>
    </w:rPr>
  </w:style>
  <w:style w:type="character" w:customStyle="1" w:styleId="CommentTextChar">
    <w:name w:val="Comment Text Char"/>
    <w:basedOn w:val="DefaultParagraphFont"/>
    <w:link w:val="CommentText"/>
    <w:uiPriority w:val="99"/>
    <w:rsid w:val="00E91A8D"/>
    <w:rPr>
      <w:sz w:val="20"/>
      <w:szCs w:val="20"/>
    </w:rPr>
  </w:style>
  <w:style w:type="paragraph" w:styleId="CommentSubject">
    <w:name w:val="annotation subject"/>
    <w:basedOn w:val="CommentText"/>
    <w:next w:val="CommentText"/>
    <w:link w:val="CommentSubjectChar"/>
    <w:uiPriority w:val="99"/>
    <w:semiHidden/>
    <w:unhideWhenUsed/>
    <w:rsid w:val="00E91A8D"/>
    <w:rPr>
      <w:b/>
      <w:bCs/>
    </w:rPr>
  </w:style>
  <w:style w:type="character" w:customStyle="1" w:styleId="CommentSubjectChar">
    <w:name w:val="Comment Subject Char"/>
    <w:basedOn w:val="CommentTextChar"/>
    <w:link w:val="CommentSubject"/>
    <w:uiPriority w:val="99"/>
    <w:semiHidden/>
    <w:rsid w:val="00E91A8D"/>
    <w:rPr>
      <w:b/>
      <w:bCs/>
      <w:sz w:val="20"/>
      <w:szCs w:val="20"/>
    </w:rPr>
  </w:style>
  <w:style w:type="paragraph" w:styleId="BalloonText">
    <w:name w:val="Balloon Text"/>
    <w:basedOn w:val="Normal"/>
    <w:link w:val="BalloonTextChar"/>
    <w:uiPriority w:val="99"/>
    <w:semiHidden/>
    <w:unhideWhenUsed/>
    <w:rsid w:val="00E91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A8D"/>
    <w:rPr>
      <w:rFonts w:ascii="Segoe UI" w:hAnsi="Segoe UI" w:cs="Segoe UI"/>
      <w:sz w:val="18"/>
      <w:szCs w:val="18"/>
    </w:rPr>
  </w:style>
  <w:style w:type="paragraph" w:styleId="Header">
    <w:name w:val="header"/>
    <w:basedOn w:val="Normal"/>
    <w:link w:val="HeaderChar"/>
    <w:uiPriority w:val="99"/>
    <w:unhideWhenUsed/>
    <w:rsid w:val="00CD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9D"/>
  </w:style>
  <w:style w:type="paragraph" w:styleId="Footer">
    <w:name w:val="footer"/>
    <w:basedOn w:val="Normal"/>
    <w:link w:val="FooterChar"/>
    <w:uiPriority w:val="99"/>
    <w:unhideWhenUsed/>
    <w:rsid w:val="00CD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9D"/>
  </w:style>
  <w:style w:type="paragraph" w:styleId="NormalWeb">
    <w:name w:val="Normal (Web)"/>
    <w:basedOn w:val="Normal"/>
    <w:uiPriority w:val="99"/>
    <w:semiHidden/>
    <w:unhideWhenUsed/>
    <w:rsid w:val="00732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1C49"/>
    <w:rPr>
      <w:i/>
      <w:iCs/>
    </w:rPr>
  </w:style>
  <w:style w:type="character" w:styleId="Strong">
    <w:name w:val="Strong"/>
    <w:basedOn w:val="DefaultParagraphFont"/>
    <w:uiPriority w:val="22"/>
    <w:qFormat/>
    <w:rsid w:val="00B41C49"/>
    <w:rPr>
      <w:b/>
      <w:bCs/>
    </w:rPr>
  </w:style>
  <w:style w:type="character" w:customStyle="1" w:styleId="screen-readers-only">
    <w:name w:val="screen-readers-only"/>
    <w:basedOn w:val="DefaultParagraphFont"/>
    <w:rsid w:val="00E175A4"/>
  </w:style>
  <w:style w:type="character" w:customStyle="1" w:styleId="cite">
    <w:name w:val="cite"/>
    <w:basedOn w:val="DefaultParagraphFont"/>
    <w:rsid w:val="00E175A4"/>
  </w:style>
  <w:style w:type="character" w:customStyle="1" w:styleId="Title1">
    <w:name w:val="Title1"/>
    <w:basedOn w:val="DefaultParagraphFont"/>
    <w:rsid w:val="00E175A4"/>
  </w:style>
  <w:style w:type="character" w:customStyle="1" w:styleId="vrpd">
    <w:name w:val="vrpd"/>
    <w:basedOn w:val="DefaultParagraphFont"/>
    <w:rsid w:val="00E175A4"/>
  </w:style>
  <w:style w:type="paragraph" w:styleId="FootnoteText">
    <w:name w:val="footnote text"/>
    <w:basedOn w:val="Normal"/>
    <w:link w:val="FootnoteTextChar"/>
    <w:uiPriority w:val="99"/>
    <w:semiHidden/>
    <w:unhideWhenUsed/>
    <w:rsid w:val="000E6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D42"/>
    <w:rPr>
      <w:sz w:val="20"/>
      <w:szCs w:val="20"/>
    </w:rPr>
  </w:style>
  <w:style w:type="character" w:styleId="FootnoteReference">
    <w:name w:val="footnote reference"/>
    <w:basedOn w:val="DefaultParagraphFont"/>
    <w:uiPriority w:val="99"/>
    <w:semiHidden/>
    <w:unhideWhenUsed/>
    <w:rsid w:val="000E6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82346">
      <w:bodyDiv w:val="1"/>
      <w:marLeft w:val="0"/>
      <w:marRight w:val="0"/>
      <w:marTop w:val="0"/>
      <w:marBottom w:val="0"/>
      <w:divBdr>
        <w:top w:val="none" w:sz="0" w:space="0" w:color="auto"/>
        <w:left w:val="none" w:sz="0" w:space="0" w:color="auto"/>
        <w:bottom w:val="none" w:sz="0" w:space="0" w:color="auto"/>
        <w:right w:val="none" w:sz="0" w:space="0" w:color="auto"/>
      </w:divBdr>
    </w:div>
    <w:div w:id="971641646">
      <w:bodyDiv w:val="1"/>
      <w:marLeft w:val="0"/>
      <w:marRight w:val="0"/>
      <w:marTop w:val="0"/>
      <w:marBottom w:val="0"/>
      <w:divBdr>
        <w:top w:val="none" w:sz="0" w:space="0" w:color="auto"/>
        <w:left w:val="none" w:sz="0" w:space="0" w:color="auto"/>
        <w:bottom w:val="none" w:sz="0" w:space="0" w:color="auto"/>
        <w:right w:val="none" w:sz="0" w:space="0" w:color="auto"/>
      </w:divBdr>
      <w:divsChild>
        <w:div w:id="126171632">
          <w:marLeft w:val="0"/>
          <w:marRight w:val="0"/>
          <w:marTop w:val="0"/>
          <w:marBottom w:val="0"/>
          <w:divBdr>
            <w:top w:val="none" w:sz="0" w:space="0" w:color="auto"/>
            <w:left w:val="none" w:sz="0" w:space="0" w:color="auto"/>
            <w:bottom w:val="none" w:sz="0" w:space="0" w:color="auto"/>
            <w:right w:val="none" w:sz="0" w:space="0" w:color="auto"/>
          </w:divBdr>
          <w:divsChild>
            <w:div w:id="843738797">
              <w:marLeft w:val="0"/>
              <w:marRight w:val="0"/>
              <w:marTop w:val="0"/>
              <w:marBottom w:val="0"/>
              <w:divBdr>
                <w:top w:val="none" w:sz="0" w:space="0" w:color="auto"/>
                <w:left w:val="none" w:sz="0" w:space="0" w:color="auto"/>
                <w:bottom w:val="none" w:sz="0" w:space="0" w:color="auto"/>
                <w:right w:val="none" w:sz="0" w:space="0" w:color="auto"/>
              </w:divBdr>
            </w:div>
          </w:divsChild>
        </w:div>
        <w:div w:id="1257709078">
          <w:marLeft w:val="0"/>
          <w:marRight w:val="0"/>
          <w:marTop w:val="0"/>
          <w:marBottom w:val="0"/>
          <w:divBdr>
            <w:top w:val="none" w:sz="0" w:space="0" w:color="auto"/>
            <w:left w:val="none" w:sz="0" w:space="0" w:color="auto"/>
            <w:bottom w:val="none" w:sz="0" w:space="0" w:color="auto"/>
            <w:right w:val="none" w:sz="0" w:space="0" w:color="auto"/>
          </w:divBdr>
          <w:divsChild>
            <w:div w:id="12250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loc.gov/service/ll/usrep/usrep287/usrep287045/usrep28704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dn.loc.gov/service/ll/usrep/usrep315/usrep315060/usrep3150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E691-B09F-4745-AB82-5D320606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Cohen</dc:creator>
  <cp:lastModifiedBy>Sarah LoPresti</cp:lastModifiedBy>
  <cp:revision>2</cp:revision>
  <dcterms:created xsi:type="dcterms:W3CDTF">2020-12-21T15:27:00Z</dcterms:created>
  <dcterms:modified xsi:type="dcterms:W3CDTF">2020-12-21T15:27:00Z</dcterms:modified>
</cp:coreProperties>
</file>