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FEE9A" w14:textId="77777777" w:rsidR="00AC30A0" w:rsidRDefault="00AC30A0" w:rsidP="00AC30A0">
      <w:pPr>
        <w:jc w:val="center"/>
        <w:rPr>
          <w:b/>
          <w:i/>
          <w:sz w:val="40"/>
        </w:rPr>
      </w:pPr>
      <w:r>
        <w:rPr>
          <w:b/>
          <w:i/>
          <w:sz w:val="40"/>
        </w:rPr>
        <w:t>Committee for Public Counsel Services</w:t>
      </w:r>
    </w:p>
    <w:p w14:paraId="389166DB" w14:textId="77777777" w:rsidR="00AC30A0" w:rsidRDefault="00AC30A0" w:rsidP="00AC30A0">
      <w:pPr>
        <w:jc w:val="center"/>
        <w:rPr>
          <w:i/>
        </w:rPr>
      </w:pPr>
      <w:r>
        <w:rPr>
          <w:b/>
          <w:i/>
          <w:sz w:val="40"/>
        </w:rPr>
        <w:t>Children and Family Law Division</w:t>
      </w:r>
    </w:p>
    <w:p w14:paraId="3D23C264" w14:textId="77777777"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14:paraId="1FE54036" w14:textId="39AA2EE1" w:rsidR="00AC30A0" w:rsidRDefault="00AC30A0" w:rsidP="00AC30A0">
      <w:pPr>
        <w:jc w:val="center"/>
      </w:pPr>
      <w:r>
        <w:rPr>
          <w:i/>
        </w:rPr>
        <w:t>Phone: (617) 482-6212</w:t>
      </w:r>
    </w:p>
    <w:p w14:paraId="38DD0ED7" w14:textId="77777777" w:rsidR="00AC30A0" w:rsidRDefault="00AC30A0" w:rsidP="00AC30A0">
      <w:r>
        <w:tab/>
      </w:r>
      <w:r>
        <w:tab/>
      </w:r>
      <w:r>
        <w:tab/>
      </w:r>
    </w:p>
    <w:p w14:paraId="138F22ED" w14:textId="77777777" w:rsidR="00AC30A0" w:rsidRDefault="00EA6BB9" w:rsidP="00AC30A0">
      <w:pPr>
        <w:jc w:val="center"/>
        <w:rPr>
          <w:b/>
          <w:sz w:val="30"/>
        </w:rPr>
      </w:pPr>
      <w:r>
        <w:rPr>
          <w:b/>
          <w:sz w:val="30"/>
        </w:rPr>
        <w:t>Appellate Bulletin</w:t>
      </w:r>
    </w:p>
    <w:p w14:paraId="753BA93F" w14:textId="77777777" w:rsidR="00AC30A0" w:rsidRDefault="00AC30A0" w:rsidP="00AC30A0">
      <w:pPr>
        <w:jc w:val="center"/>
        <w:rPr>
          <w:b/>
        </w:rPr>
      </w:pPr>
    </w:p>
    <w:p w14:paraId="0CD8DD36" w14:textId="77777777"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14:paraId="76AB15E3" w14:textId="77777777" w:rsidR="0011198F" w:rsidRDefault="0011198F" w:rsidP="00AC30A0">
      <w:pPr>
        <w:ind w:left="720" w:right="720" w:hanging="720"/>
        <w:rPr>
          <w:szCs w:val="24"/>
        </w:rPr>
      </w:pPr>
    </w:p>
    <w:p w14:paraId="1C73AB4A" w14:textId="77777777" w:rsidR="00AC30A0" w:rsidRDefault="00E30CCD" w:rsidP="00AC30A0">
      <w:pPr>
        <w:ind w:left="720" w:right="720" w:hanging="720"/>
        <w:rPr>
          <w:szCs w:val="24"/>
        </w:rPr>
      </w:pPr>
      <w:r>
        <w:rPr>
          <w:szCs w:val="24"/>
        </w:rPr>
        <w:t>C</w:t>
      </w:r>
      <w:r w:rsidR="00AC30A0">
        <w:rPr>
          <w:szCs w:val="24"/>
        </w:rPr>
        <w:t>c:</w:t>
      </w:r>
      <w:r w:rsidR="00AC30A0">
        <w:rPr>
          <w:szCs w:val="24"/>
        </w:rPr>
        <w:tab/>
        <w:t>CAFL Trial Panel Members</w:t>
      </w:r>
    </w:p>
    <w:p w14:paraId="1C7EF93F" w14:textId="77777777" w:rsidR="00AC30A0" w:rsidRDefault="00AC30A0" w:rsidP="00AC30A0">
      <w:pPr>
        <w:ind w:left="720" w:right="720"/>
        <w:rPr>
          <w:szCs w:val="24"/>
        </w:rPr>
      </w:pPr>
      <w:r>
        <w:rPr>
          <w:szCs w:val="24"/>
        </w:rPr>
        <w:t>CAFL Administrative Attorneys</w:t>
      </w:r>
    </w:p>
    <w:p w14:paraId="4E2CA4AD" w14:textId="77777777" w:rsidR="0011198F" w:rsidRDefault="0011198F" w:rsidP="00AC30A0">
      <w:pPr>
        <w:ind w:left="720" w:right="720"/>
        <w:rPr>
          <w:szCs w:val="24"/>
        </w:rPr>
      </w:pPr>
    </w:p>
    <w:p w14:paraId="21B662EE" w14:textId="77777777" w:rsidR="00AC30A0" w:rsidRDefault="00AC30A0" w:rsidP="006D7B71">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p>
    <w:p w14:paraId="6CFE1562" w14:textId="77777777" w:rsidR="00952269" w:rsidRDefault="00952269" w:rsidP="00AC30A0">
      <w:pPr>
        <w:ind w:right="720"/>
        <w:rPr>
          <w:szCs w:val="24"/>
        </w:rPr>
      </w:pPr>
      <w:r>
        <w:rPr>
          <w:szCs w:val="24"/>
        </w:rPr>
        <w:tab/>
      </w:r>
      <w:r w:rsidR="00393344">
        <w:rPr>
          <w:szCs w:val="24"/>
        </w:rPr>
        <w:t xml:space="preserve">Ann </w:t>
      </w:r>
      <w:proofErr w:type="spellStart"/>
      <w:r w:rsidR="00393344">
        <w:rPr>
          <w:szCs w:val="24"/>
        </w:rPr>
        <w:t>Narris</w:t>
      </w:r>
      <w:proofErr w:type="spellEnd"/>
      <w:r w:rsidR="00393344">
        <w:rPr>
          <w:szCs w:val="24"/>
        </w:rPr>
        <w:t xml:space="preserve">, </w:t>
      </w:r>
      <w:r w:rsidR="00371F99">
        <w:rPr>
          <w:szCs w:val="24"/>
        </w:rPr>
        <w:t xml:space="preserve">Supervising </w:t>
      </w:r>
      <w:r w:rsidR="00393344">
        <w:rPr>
          <w:szCs w:val="24"/>
        </w:rPr>
        <w:t>Staff Attorney, CAFL Appellate Panel Support Unit</w:t>
      </w:r>
    </w:p>
    <w:p w14:paraId="6A873108" w14:textId="77777777" w:rsidR="006349B8" w:rsidRDefault="006349B8" w:rsidP="00AC30A0">
      <w:pPr>
        <w:ind w:right="720"/>
        <w:rPr>
          <w:szCs w:val="24"/>
        </w:rPr>
      </w:pPr>
      <w:r>
        <w:rPr>
          <w:szCs w:val="24"/>
        </w:rPr>
        <w:tab/>
      </w:r>
      <w:r w:rsidR="00393344">
        <w:rPr>
          <w:szCs w:val="24"/>
        </w:rPr>
        <w:t xml:space="preserve">Sarah </w:t>
      </w:r>
      <w:proofErr w:type="spellStart"/>
      <w:r w:rsidR="00393344">
        <w:rPr>
          <w:szCs w:val="24"/>
        </w:rPr>
        <w:t>LoPresti</w:t>
      </w:r>
      <w:proofErr w:type="spellEnd"/>
      <w:r w:rsidR="00393344">
        <w:rPr>
          <w:szCs w:val="24"/>
        </w:rPr>
        <w:t>,</w:t>
      </w:r>
      <w:r>
        <w:rPr>
          <w:szCs w:val="24"/>
        </w:rPr>
        <w:t xml:space="preserve"> Staff Attorney, CAFL</w:t>
      </w:r>
      <w:r w:rsidR="00393344">
        <w:rPr>
          <w:szCs w:val="24"/>
        </w:rPr>
        <w:t xml:space="preserve"> Appellate Panel Support Unit</w:t>
      </w:r>
    </w:p>
    <w:p w14:paraId="5F70F76A" w14:textId="77777777" w:rsidR="0011198F" w:rsidRPr="00045951" w:rsidRDefault="0011198F" w:rsidP="00AC30A0">
      <w:pPr>
        <w:ind w:right="720"/>
        <w:rPr>
          <w:szCs w:val="24"/>
        </w:rPr>
      </w:pPr>
    </w:p>
    <w:p w14:paraId="0BD092D9" w14:textId="77777777" w:rsidR="00D65782" w:rsidRDefault="00AC30A0" w:rsidP="00AC30A0">
      <w:pPr>
        <w:tabs>
          <w:tab w:val="left" w:pos="720"/>
        </w:tabs>
        <w:ind w:right="720"/>
        <w:rPr>
          <w:szCs w:val="24"/>
        </w:rPr>
      </w:pPr>
      <w:r w:rsidRPr="00045951">
        <w:rPr>
          <w:szCs w:val="24"/>
        </w:rPr>
        <w:t>Re:</w:t>
      </w:r>
      <w:r w:rsidRPr="00045951">
        <w:rPr>
          <w:szCs w:val="24"/>
        </w:rPr>
        <w:tab/>
      </w:r>
      <w:r w:rsidR="00D65782">
        <w:rPr>
          <w:szCs w:val="24"/>
        </w:rPr>
        <w:t>Administrative Matters</w:t>
      </w:r>
    </w:p>
    <w:p w14:paraId="5B9E538A" w14:textId="77777777" w:rsidR="0019439E" w:rsidRDefault="00AA66BF" w:rsidP="00AC30A0">
      <w:pPr>
        <w:tabs>
          <w:tab w:val="left" w:pos="720"/>
        </w:tabs>
        <w:ind w:right="720"/>
        <w:rPr>
          <w:szCs w:val="24"/>
        </w:rPr>
      </w:pPr>
      <w:r>
        <w:rPr>
          <w:szCs w:val="24"/>
        </w:rPr>
        <w:tab/>
      </w:r>
      <w:r w:rsidR="0011198F">
        <w:rPr>
          <w:szCs w:val="24"/>
        </w:rPr>
        <w:t>Recent Unpublished Decisions</w:t>
      </w:r>
    </w:p>
    <w:p w14:paraId="63F7C4A0" w14:textId="77777777" w:rsidR="006D7B71" w:rsidRDefault="0019439E" w:rsidP="00AC30A0">
      <w:pPr>
        <w:tabs>
          <w:tab w:val="left" w:pos="720"/>
        </w:tabs>
        <w:ind w:right="720"/>
        <w:rPr>
          <w:szCs w:val="24"/>
        </w:rPr>
      </w:pPr>
      <w:r>
        <w:rPr>
          <w:szCs w:val="24"/>
        </w:rPr>
        <w:tab/>
      </w:r>
      <w:r w:rsidR="005D18D6">
        <w:rPr>
          <w:szCs w:val="24"/>
        </w:rPr>
        <w:t>Writing</w:t>
      </w:r>
      <w:r w:rsidR="00CC09DF">
        <w:rPr>
          <w:szCs w:val="24"/>
        </w:rPr>
        <w:t xml:space="preserve"> Tip</w:t>
      </w:r>
      <w:r w:rsidR="002F1327">
        <w:rPr>
          <w:szCs w:val="24"/>
        </w:rPr>
        <w:t xml:space="preserve"> – </w:t>
      </w:r>
      <w:r w:rsidR="005D18D6">
        <w:rPr>
          <w:szCs w:val="24"/>
        </w:rPr>
        <w:t>Bold and Italics</w:t>
      </w:r>
    </w:p>
    <w:p w14:paraId="333F12C1" w14:textId="77777777" w:rsidR="0011198F" w:rsidRDefault="0011198F" w:rsidP="00AC30A0">
      <w:pPr>
        <w:tabs>
          <w:tab w:val="left" w:pos="720"/>
        </w:tabs>
        <w:ind w:right="720"/>
        <w:rPr>
          <w:szCs w:val="24"/>
        </w:rPr>
      </w:pPr>
    </w:p>
    <w:p w14:paraId="15BF4DC8" w14:textId="0621EBDC" w:rsidR="00AC30A0" w:rsidRPr="00045951" w:rsidRDefault="00AC30A0" w:rsidP="00AC30A0">
      <w:pPr>
        <w:tabs>
          <w:tab w:val="left" w:pos="720"/>
        </w:tabs>
        <w:ind w:right="720"/>
        <w:rPr>
          <w:szCs w:val="24"/>
        </w:rPr>
      </w:pPr>
      <w:r w:rsidRPr="00045951">
        <w:rPr>
          <w:szCs w:val="24"/>
        </w:rPr>
        <w:t>Date:</w:t>
      </w:r>
      <w:r w:rsidRPr="00045951">
        <w:rPr>
          <w:szCs w:val="24"/>
        </w:rPr>
        <w:tab/>
      </w:r>
      <w:r w:rsidR="00527C43">
        <w:rPr>
          <w:szCs w:val="24"/>
        </w:rPr>
        <w:t>May 1</w:t>
      </w:r>
      <w:r w:rsidR="007C2A01">
        <w:rPr>
          <w:szCs w:val="24"/>
        </w:rPr>
        <w:t>4</w:t>
      </w:r>
      <w:r w:rsidR="00527C43">
        <w:rPr>
          <w:szCs w:val="24"/>
        </w:rPr>
        <w:t>, 2020</w:t>
      </w:r>
    </w:p>
    <w:p w14:paraId="6717B910" w14:textId="77777777" w:rsidR="00AC30A0" w:rsidRPr="00045951" w:rsidRDefault="00AC30A0" w:rsidP="00AC30A0">
      <w:pPr>
        <w:ind w:right="720"/>
        <w:rPr>
          <w:szCs w:val="24"/>
        </w:rPr>
      </w:pPr>
      <w:r w:rsidRPr="00045951">
        <w:rPr>
          <w:szCs w:val="24"/>
        </w:rPr>
        <w:t>__________________________________________________________________</w:t>
      </w:r>
    </w:p>
    <w:p w14:paraId="142378A0" w14:textId="77777777" w:rsidR="00AC30A0" w:rsidRDefault="00AC30A0" w:rsidP="00AC30A0">
      <w:pPr>
        <w:rPr>
          <w:b/>
          <w:szCs w:val="24"/>
          <w:u w:val="single"/>
        </w:rPr>
      </w:pPr>
    </w:p>
    <w:p w14:paraId="2FD7557D" w14:textId="77777777" w:rsidR="00A14DC5" w:rsidRDefault="00A14DC5" w:rsidP="00AC30A0">
      <w:pPr>
        <w:widowControl/>
        <w:rPr>
          <w:b/>
          <w:szCs w:val="24"/>
          <w:u w:val="single"/>
        </w:rPr>
      </w:pPr>
      <w:r>
        <w:rPr>
          <w:b/>
          <w:szCs w:val="24"/>
          <w:u w:val="single"/>
        </w:rPr>
        <w:t>Administrative Matters</w:t>
      </w:r>
    </w:p>
    <w:p w14:paraId="72F75B33" w14:textId="77777777" w:rsidR="00A14DC5" w:rsidRDefault="00A14DC5" w:rsidP="00AC30A0">
      <w:pPr>
        <w:widowControl/>
        <w:rPr>
          <w:b/>
          <w:szCs w:val="24"/>
          <w:u w:val="single"/>
        </w:rPr>
      </w:pPr>
    </w:p>
    <w:p w14:paraId="1672959D" w14:textId="1953A9EA" w:rsidR="003A34C7" w:rsidRDefault="005865EB" w:rsidP="003A34C7">
      <w:r w:rsidRPr="005865EB">
        <w:rPr>
          <w:u w:val="single"/>
        </w:rPr>
        <w:t>Support/Moots</w:t>
      </w:r>
      <w:r>
        <w:t xml:space="preserve">.  </w:t>
      </w:r>
      <w:r w:rsidR="003A34C7">
        <w:t>During this tricky time, please don’t hesitate to contact your mentor or reach out to any</w:t>
      </w:r>
      <w:r w:rsidR="005D18D6">
        <w:t xml:space="preserve"> </w:t>
      </w:r>
      <w:r w:rsidR="003A34C7">
        <w:t>of us in the CAFL Appellate Panel Support Unit.  We</w:t>
      </w:r>
      <w:r w:rsidR="00F54010">
        <w:t xml:space="preserve">’re here to support you and help you any way we can.  </w:t>
      </w:r>
      <w:r w:rsidR="003A34C7">
        <w:t xml:space="preserve">We’re also available to do </w:t>
      </w:r>
      <w:r w:rsidR="00F54010">
        <w:t xml:space="preserve">video </w:t>
      </w:r>
      <w:r w:rsidR="003A34C7">
        <w:t>moots</w:t>
      </w:r>
      <w:r w:rsidR="00F54010">
        <w:t>; we’ve done several already this month</w:t>
      </w:r>
      <w:r w:rsidR="003A34C7">
        <w:t xml:space="preserve">. </w:t>
      </w:r>
    </w:p>
    <w:p w14:paraId="44E252AB" w14:textId="77777777" w:rsidR="003A34C7" w:rsidRDefault="003A34C7" w:rsidP="003A34C7"/>
    <w:p w14:paraId="398A5186" w14:textId="67D628C2" w:rsidR="003A34C7" w:rsidRDefault="005865EB" w:rsidP="003A34C7">
      <w:r w:rsidRPr="005865EB">
        <w:rPr>
          <w:u w:val="single"/>
        </w:rPr>
        <w:t>Appeals Court Clerk’s Office</w:t>
      </w:r>
      <w:r>
        <w:t xml:space="preserve">.  </w:t>
      </w:r>
      <w:r w:rsidR="003A34C7">
        <w:t>If you have questions about a pending appeal, the Appeals Court Clerk’s Office has a skeleton crew operat</w:t>
      </w:r>
      <w:r w:rsidR="00F54010">
        <w:t xml:space="preserve">ing during the court closure.  </w:t>
      </w:r>
      <w:r w:rsidR="00371F99" w:rsidRPr="00371F99">
        <w:t>If you have an emergency matter with the Appeals Court,</w:t>
      </w:r>
      <w:r w:rsidR="00371F99">
        <w:t xml:space="preserve"> you can</w:t>
      </w:r>
      <w:r w:rsidR="00371F99" w:rsidRPr="00371F99">
        <w:t xml:space="preserve"> call </w:t>
      </w:r>
      <w:r w:rsidR="009F05FB">
        <w:t>(</w:t>
      </w:r>
      <w:r w:rsidR="00371F99" w:rsidRPr="00371F99">
        <w:t>617</w:t>
      </w:r>
      <w:r w:rsidR="009F05FB">
        <w:t xml:space="preserve">) </w:t>
      </w:r>
      <w:r w:rsidR="00371F99" w:rsidRPr="00371F99">
        <w:t xml:space="preserve">723-1527 or email MACClerkEmergency@jud.state.ma.us. If </w:t>
      </w:r>
      <w:r w:rsidR="00371F99">
        <w:t xml:space="preserve">you have a non-emergency matter, </w:t>
      </w:r>
      <w:r w:rsidR="00371F99" w:rsidRPr="00371F99">
        <w:t xml:space="preserve">call </w:t>
      </w:r>
      <w:r w:rsidR="009F05FB">
        <w:t>(</w:t>
      </w:r>
      <w:r w:rsidR="00371F99" w:rsidRPr="00371F99">
        <w:t>617</w:t>
      </w:r>
      <w:r w:rsidR="009F05FB">
        <w:t xml:space="preserve">) </w:t>
      </w:r>
      <w:r w:rsidR="00371F99" w:rsidRPr="00371F99">
        <w:t xml:space="preserve">723-1511 or email MACClerkNonEmergency@jud.state.ma.us. </w:t>
      </w:r>
      <w:r w:rsidR="00371F99">
        <w:t xml:space="preserve">Someone from the Clerk’s Office will likely get back to you promptly.  </w:t>
      </w:r>
    </w:p>
    <w:p w14:paraId="0A664EA2" w14:textId="77777777" w:rsidR="008A4516" w:rsidRDefault="008A4516" w:rsidP="003A34C7"/>
    <w:p w14:paraId="11E3653C" w14:textId="06CA3B1C" w:rsidR="008A4516" w:rsidRDefault="008A4516" w:rsidP="003A34C7">
      <w:r w:rsidRPr="00C37F0A">
        <w:rPr>
          <w:szCs w:val="24"/>
          <w:u w:val="single"/>
        </w:rPr>
        <w:t>Recruiting</w:t>
      </w:r>
      <w:r>
        <w:rPr>
          <w:szCs w:val="24"/>
        </w:rPr>
        <w:t xml:space="preserve">.  </w:t>
      </w:r>
      <w:r w:rsidRPr="00CC09DF">
        <w:rPr>
          <w:szCs w:val="24"/>
        </w:rPr>
        <w:t xml:space="preserve">If you know someone who might be a good fit for CAFL appellate work, please invite them to apply for our </w:t>
      </w:r>
      <w:r>
        <w:rPr>
          <w:szCs w:val="24"/>
        </w:rPr>
        <w:t>fall</w:t>
      </w:r>
      <w:r w:rsidRPr="00CC09DF">
        <w:rPr>
          <w:szCs w:val="24"/>
        </w:rPr>
        <w:t xml:space="preserve"> </w:t>
      </w:r>
      <w:r w:rsidRPr="00C37F0A">
        <w:rPr>
          <w:szCs w:val="24"/>
        </w:rPr>
        <w:t>certification training</w:t>
      </w:r>
      <w:r w:rsidRPr="00CC09DF">
        <w:rPr>
          <w:szCs w:val="24"/>
        </w:rPr>
        <w:t xml:space="preserve">. </w:t>
      </w:r>
      <w:r>
        <w:rPr>
          <w:szCs w:val="24"/>
        </w:rPr>
        <w:t xml:space="preserve"> </w:t>
      </w:r>
      <w:r w:rsidRPr="00CC09DF">
        <w:rPr>
          <w:szCs w:val="24"/>
        </w:rPr>
        <w:t xml:space="preserve">The training </w:t>
      </w:r>
      <w:r w:rsidR="00126AAA">
        <w:rPr>
          <w:szCs w:val="24"/>
        </w:rPr>
        <w:t xml:space="preserve">is </w:t>
      </w:r>
      <w:r w:rsidR="00126AAA" w:rsidRPr="00126AAA">
        <w:rPr>
          <w:i/>
          <w:szCs w:val="24"/>
        </w:rPr>
        <w:t>currently</w:t>
      </w:r>
      <w:r w:rsidR="00126AAA">
        <w:rPr>
          <w:szCs w:val="24"/>
        </w:rPr>
        <w:t xml:space="preserve"> scheduled to</w:t>
      </w:r>
      <w:r w:rsidRPr="00CC09DF">
        <w:rPr>
          <w:szCs w:val="24"/>
        </w:rPr>
        <w:t xml:space="preserve"> take place at Worcester Community Legal Aid on </w:t>
      </w:r>
      <w:r>
        <w:rPr>
          <w:szCs w:val="24"/>
        </w:rPr>
        <w:t>October</w:t>
      </w:r>
      <w:r w:rsidRPr="00CC09DF">
        <w:rPr>
          <w:szCs w:val="24"/>
        </w:rPr>
        <w:t xml:space="preserve"> 5, 6, and 7, 2020.</w:t>
      </w:r>
      <w:r>
        <w:rPr>
          <w:szCs w:val="24"/>
        </w:rPr>
        <w:t xml:space="preserve"> </w:t>
      </w:r>
      <w:r w:rsidRPr="00CC09DF">
        <w:rPr>
          <w:szCs w:val="24"/>
        </w:rPr>
        <w:t xml:space="preserve"> The application deadline is </w:t>
      </w:r>
      <w:r>
        <w:rPr>
          <w:szCs w:val="24"/>
        </w:rPr>
        <w:t>August</w:t>
      </w:r>
      <w:r w:rsidRPr="00CC09DF">
        <w:rPr>
          <w:szCs w:val="24"/>
        </w:rPr>
        <w:t xml:space="preserve"> 31, 2020. </w:t>
      </w:r>
      <w:r>
        <w:rPr>
          <w:szCs w:val="24"/>
        </w:rPr>
        <w:t xml:space="preserve"> </w:t>
      </w:r>
      <w:r w:rsidR="00126AAA">
        <w:rPr>
          <w:szCs w:val="24"/>
        </w:rPr>
        <w:t xml:space="preserve">(Of course, these dates and/or the nature of the training – live or online – may change.)  </w:t>
      </w:r>
      <w:r w:rsidRPr="00CC09DF">
        <w:rPr>
          <w:szCs w:val="24"/>
        </w:rPr>
        <w:t xml:space="preserve">Applications and more information can be found on the </w:t>
      </w:r>
      <w:hyperlink r:id="rId7" w:history="1">
        <w:r w:rsidRPr="00CC09DF">
          <w:rPr>
            <w:rStyle w:val="Hyperlink"/>
            <w:szCs w:val="24"/>
          </w:rPr>
          <w:t>CPCS website</w:t>
        </w:r>
      </w:hyperlink>
      <w:r w:rsidR="00371F99" w:rsidRPr="00B001B4">
        <w:rPr>
          <w:rStyle w:val="Hyperlink"/>
          <w:szCs w:val="24"/>
          <w:u w:val="none"/>
        </w:rPr>
        <w:t>.</w:t>
      </w:r>
    </w:p>
    <w:p w14:paraId="5BAF741B" w14:textId="77777777" w:rsidR="006349B8" w:rsidRPr="003557CE" w:rsidRDefault="006349B8" w:rsidP="00AC30A0">
      <w:pPr>
        <w:widowControl/>
        <w:rPr>
          <w:szCs w:val="24"/>
        </w:rPr>
      </w:pPr>
    </w:p>
    <w:p w14:paraId="50D54268" w14:textId="77777777" w:rsidR="005865EB" w:rsidRDefault="005865EB" w:rsidP="0011198F">
      <w:pPr>
        <w:widowControl/>
        <w:rPr>
          <w:b/>
          <w:szCs w:val="24"/>
          <w:u w:val="single"/>
        </w:rPr>
      </w:pPr>
    </w:p>
    <w:p w14:paraId="2061735D" w14:textId="77777777" w:rsidR="005865EB" w:rsidRDefault="005865EB" w:rsidP="0011198F">
      <w:pPr>
        <w:widowControl/>
        <w:rPr>
          <w:b/>
          <w:szCs w:val="24"/>
          <w:u w:val="single"/>
        </w:rPr>
      </w:pPr>
    </w:p>
    <w:p w14:paraId="75060A52" w14:textId="77777777" w:rsidR="0011198F" w:rsidRDefault="0011198F" w:rsidP="0011198F">
      <w:pPr>
        <w:widowControl/>
        <w:rPr>
          <w:b/>
          <w:szCs w:val="24"/>
          <w:u w:val="single"/>
        </w:rPr>
      </w:pPr>
      <w:r>
        <w:rPr>
          <w:b/>
          <w:szCs w:val="24"/>
          <w:u w:val="single"/>
        </w:rPr>
        <w:lastRenderedPageBreak/>
        <w:t>Recent Unpublished Decisions</w:t>
      </w:r>
    </w:p>
    <w:p w14:paraId="03C6D5D1" w14:textId="77777777" w:rsidR="007F69B9" w:rsidRDefault="007F69B9" w:rsidP="00AC30A0">
      <w:pPr>
        <w:widowControl/>
        <w:rPr>
          <w:b/>
          <w:szCs w:val="24"/>
          <w:u w:val="single"/>
        </w:rPr>
      </w:pPr>
    </w:p>
    <w:p w14:paraId="7E05674C" w14:textId="77777777" w:rsidR="00906DB8" w:rsidRDefault="00906DB8" w:rsidP="00AC30A0">
      <w:pPr>
        <w:widowControl/>
      </w:pPr>
      <w:r w:rsidRPr="00906DB8">
        <w:rPr>
          <w:szCs w:val="24"/>
        </w:rPr>
        <w:t xml:space="preserve">This Bulletin catches us up through August 2019.  </w:t>
      </w:r>
      <w:r>
        <w:t xml:space="preserve">We have not summarized all unpublished child welfare decisions; rather, we’ve include only those with interesting facts and/or legal issues. If we left out one of your Rule 1:28 decisions from the first half of 2019, and it has a useful tidbit in it, please let us know. </w:t>
      </w:r>
    </w:p>
    <w:p w14:paraId="3058CD8A" w14:textId="77777777" w:rsidR="00906DB8" w:rsidRDefault="00906DB8" w:rsidP="00AC30A0">
      <w:pPr>
        <w:widowControl/>
      </w:pPr>
    </w:p>
    <w:p w14:paraId="59D1F595" w14:textId="77777777" w:rsidR="00906DB8" w:rsidRDefault="00906DB8" w:rsidP="00AC30A0">
      <w:pPr>
        <w:widowControl/>
      </w:pPr>
      <w:r>
        <w:t xml:space="preserve">We still see Rule 1:28 decisions cited incorrectly in briefs. Remember, if you cite to a Rule 1:28 decision – and you </w:t>
      </w:r>
      <w:r w:rsidRPr="00906DB8">
        <w:rPr>
          <w:i/>
        </w:rPr>
        <w:t>should</w:t>
      </w:r>
      <w:r>
        <w:t xml:space="preserve">; that’s why we’re including them here! – you must: (a) attach a copy of the decision as an addendum; and (b) cite the page of the Appeals Court reporter that lists the decision and a notation that the decision was issued pursuant to Rule 1:28.  In your brief or motion, you do not need to cite the docket number, month, or day. For example: </w:t>
      </w:r>
      <w:r w:rsidRPr="00906DB8">
        <w:rPr>
          <w:u w:val="single"/>
        </w:rPr>
        <w:t>Care and Protection of Priscilla</w:t>
      </w:r>
      <w:r>
        <w:t>, 79 Mass. App. Ct. 1101 (2011) (Mass. App. Ct. Rule 1:28). We’re adding the judges in parentheses just for your information.</w:t>
      </w:r>
    </w:p>
    <w:p w14:paraId="66C735C9" w14:textId="77777777" w:rsidR="00906DB8" w:rsidRPr="00906DB8" w:rsidRDefault="00906DB8" w:rsidP="00AC30A0">
      <w:pPr>
        <w:widowControl/>
        <w:rPr>
          <w:szCs w:val="24"/>
        </w:rPr>
      </w:pPr>
    </w:p>
    <w:p w14:paraId="03674600" w14:textId="0AEEE22B" w:rsidR="00527C43" w:rsidRDefault="00527C43" w:rsidP="00527C43">
      <w:pPr>
        <w:rPr>
          <w:szCs w:val="24"/>
        </w:rPr>
      </w:pPr>
      <w:r w:rsidRPr="00B001B4">
        <w:rPr>
          <w:b/>
          <w:szCs w:val="24"/>
        </w:rPr>
        <w:t>1.</w:t>
      </w:r>
      <w:r>
        <w:rPr>
          <w:szCs w:val="24"/>
        </w:rPr>
        <w:t xml:space="preserve"> </w:t>
      </w:r>
      <w:r w:rsidRPr="004C727E">
        <w:rPr>
          <w:szCs w:val="24"/>
        </w:rPr>
        <w:t>In</w:t>
      </w:r>
      <w:r w:rsidRPr="001050BD">
        <w:rPr>
          <w:b/>
          <w:szCs w:val="24"/>
        </w:rPr>
        <w:t xml:space="preserve"> </w:t>
      </w:r>
      <w:r w:rsidRPr="004C727E">
        <w:rPr>
          <w:b/>
          <w:szCs w:val="24"/>
          <w:u w:val="single"/>
        </w:rPr>
        <w:t>Adoption of Maisie</w:t>
      </w:r>
      <w:r w:rsidRPr="008F07E3">
        <w:rPr>
          <w:b/>
          <w:szCs w:val="24"/>
        </w:rPr>
        <w:t>, 94 Mass. App. Ct. 1117 (2019) (Mass. App. Ct. Rule 1:28)</w:t>
      </w:r>
      <w:r w:rsidR="001A1AA8">
        <w:rPr>
          <w:b/>
          <w:szCs w:val="24"/>
        </w:rPr>
        <w:t xml:space="preserve"> (Rubin, Maldonado, </w:t>
      </w:r>
      <w:proofErr w:type="spellStart"/>
      <w:r w:rsidR="001A1AA8">
        <w:rPr>
          <w:b/>
          <w:szCs w:val="24"/>
        </w:rPr>
        <w:t>Lemire</w:t>
      </w:r>
      <w:proofErr w:type="spellEnd"/>
      <w:r w:rsidR="001A1AA8">
        <w:rPr>
          <w:b/>
          <w:szCs w:val="24"/>
        </w:rPr>
        <w:t>)</w:t>
      </w:r>
      <w:r w:rsidRPr="004C727E">
        <w:rPr>
          <w:szCs w:val="24"/>
        </w:rPr>
        <w:t>, the trial judge found the parents unfit and terminated their rights</w:t>
      </w:r>
      <w:r>
        <w:rPr>
          <w:szCs w:val="24"/>
        </w:rPr>
        <w:t>, “t</w:t>
      </w:r>
      <w:r w:rsidRPr="004C727E">
        <w:rPr>
          <w:szCs w:val="24"/>
        </w:rPr>
        <w:t xml:space="preserve">hereby freeing the children to be adopted by their maternal grandmother.”  </w:t>
      </w:r>
    </w:p>
    <w:p w14:paraId="2BF529A5" w14:textId="77777777" w:rsidR="00527C43" w:rsidRPr="004C727E" w:rsidRDefault="00527C43" w:rsidP="00527C43">
      <w:pPr>
        <w:rPr>
          <w:szCs w:val="24"/>
        </w:rPr>
      </w:pPr>
    </w:p>
    <w:p w14:paraId="774B68E5" w14:textId="77777777" w:rsidR="00527C43" w:rsidRDefault="00527C43" w:rsidP="00527C43">
      <w:pPr>
        <w:rPr>
          <w:szCs w:val="24"/>
        </w:rPr>
      </w:pPr>
      <w:r w:rsidRPr="004C727E">
        <w:rPr>
          <w:szCs w:val="24"/>
        </w:rPr>
        <w:t xml:space="preserve">The problem?  Adoption wasn’t the plan; guardianship was.  </w:t>
      </w:r>
      <w:r>
        <w:rPr>
          <w:szCs w:val="24"/>
        </w:rPr>
        <w:t>Although</w:t>
      </w:r>
      <w:r w:rsidRPr="004C727E">
        <w:rPr>
          <w:szCs w:val="24"/>
        </w:rPr>
        <w:t xml:space="preserve"> there was no permanency </w:t>
      </w:r>
      <w:r>
        <w:rPr>
          <w:szCs w:val="24"/>
        </w:rPr>
        <w:t xml:space="preserve">or adoption </w:t>
      </w:r>
      <w:r w:rsidRPr="004C727E">
        <w:rPr>
          <w:szCs w:val="24"/>
        </w:rPr>
        <w:t>plan in the record</w:t>
      </w:r>
      <w:r>
        <w:rPr>
          <w:szCs w:val="24"/>
        </w:rPr>
        <w:t xml:space="preserve"> that would have documented the parties’ intentions, both t</w:t>
      </w:r>
      <w:r w:rsidRPr="004C727E">
        <w:rPr>
          <w:szCs w:val="24"/>
        </w:rPr>
        <w:t xml:space="preserve">he maternal grandmother and </w:t>
      </w:r>
      <w:r>
        <w:rPr>
          <w:szCs w:val="24"/>
        </w:rPr>
        <w:t xml:space="preserve">the DCF </w:t>
      </w:r>
      <w:r w:rsidRPr="004C727E">
        <w:rPr>
          <w:szCs w:val="24"/>
        </w:rPr>
        <w:t xml:space="preserve">social worker testified </w:t>
      </w:r>
      <w:r>
        <w:rPr>
          <w:szCs w:val="24"/>
        </w:rPr>
        <w:t>that their plan was for guardianship.  T</w:t>
      </w:r>
      <w:r w:rsidRPr="004C727E">
        <w:rPr>
          <w:szCs w:val="24"/>
        </w:rPr>
        <w:t xml:space="preserve">he judge did not mention guardianship in her findings.  The panel </w:t>
      </w:r>
      <w:r>
        <w:rPr>
          <w:szCs w:val="24"/>
        </w:rPr>
        <w:t xml:space="preserve">vacated the termination, noting </w:t>
      </w:r>
      <w:r w:rsidRPr="004C727E">
        <w:rPr>
          <w:szCs w:val="24"/>
        </w:rPr>
        <w:t>that “the judge failed to meaningfully consider and evaluate that guardianship was the goal for the childr</w:t>
      </w:r>
      <w:r>
        <w:rPr>
          <w:szCs w:val="24"/>
        </w:rPr>
        <w:t>en.</w:t>
      </w:r>
      <w:r w:rsidRPr="004C727E">
        <w:rPr>
          <w:szCs w:val="24"/>
        </w:rPr>
        <w:t xml:space="preserve">”  </w:t>
      </w:r>
    </w:p>
    <w:p w14:paraId="2303FDBF" w14:textId="77777777" w:rsidR="00527C43" w:rsidRPr="004C727E" w:rsidRDefault="00527C43" w:rsidP="00527C43">
      <w:pPr>
        <w:rPr>
          <w:szCs w:val="24"/>
        </w:rPr>
      </w:pPr>
    </w:p>
    <w:p w14:paraId="6B2A593B" w14:textId="77777777" w:rsidR="00527C43" w:rsidRDefault="00527C43" w:rsidP="00527C43">
      <w:pPr>
        <w:rPr>
          <w:szCs w:val="24"/>
        </w:rPr>
      </w:pPr>
      <w:r>
        <w:rPr>
          <w:szCs w:val="24"/>
        </w:rPr>
        <w:t xml:space="preserve">Most importantly, the panel noted that guardianship and adoption are very different outcomes, and that guardianship doesn’t require termination: </w:t>
      </w:r>
      <w:r w:rsidRPr="004C727E">
        <w:rPr>
          <w:szCs w:val="24"/>
        </w:rPr>
        <w:t xml:space="preserve">“The ramifications of a guardianship versus an adoption are different and we cannot conclude, based on the judge’s findings, whether she would have terminated the parents’ rights in the event of guardianship rather than adoption.”  </w:t>
      </w:r>
    </w:p>
    <w:p w14:paraId="52AE2C43" w14:textId="77777777" w:rsidR="00527C43" w:rsidRDefault="00527C43" w:rsidP="00527C43">
      <w:pPr>
        <w:rPr>
          <w:szCs w:val="24"/>
        </w:rPr>
      </w:pPr>
      <w:r>
        <w:rPr>
          <w:szCs w:val="24"/>
        </w:rPr>
        <w:t xml:space="preserve">If guardianship was proposed in your case at the trial level, but the judge terminated without making findings about it, </w:t>
      </w:r>
      <w:r w:rsidRPr="004C727E">
        <w:rPr>
          <w:szCs w:val="24"/>
          <w:u w:val="single"/>
        </w:rPr>
        <w:t>Maisie</w:t>
      </w:r>
      <w:r w:rsidRPr="004C727E">
        <w:rPr>
          <w:szCs w:val="24"/>
        </w:rPr>
        <w:t xml:space="preserve"> is worth citing.   </w:t>
      </w:r>
    </w:p>
    <w:p w14:paraId="7EE4DBAE" w14:textId="77777777" w:rsidR="00527C43" w:rsidRPr="004C727E" w:rsidRDefault="00527C43" w:rsidP="00527C43">
      <w:pPr>
        <w:rPr>
          <w:szCs w:val="24"/>
        </w:rPr>
      </w:pPr>
    </w:p>
    <w:p w14:paraId="2CCC9E25" w14:textId="02047C80" w:rsidR="00527C43" w:rsidRDefault="00527C43" w:rsidP="00527C43">
      <w:pPr>
        <w:rPr>
          <w:szCs w:val="24"/>
        </w:rPr>
      </w:pPr>
      <w:r w:rsidRPr="00B001B4">
        <w:rPr>
          <w:b/>
          <w:szCs w:val="24"/>
        </w:rPr>
        <w:t>2.</w:t>
      </w:r>
      <w:r w:rsidR="008C3F71" w:rsidRPr="008C3F71">
        <w:rPr>
          <w:b/>
          <w:szCs w:val="24"/>
        </w:rPr>
        <w:t xml:space="preserve"> </w:t>
      </w:r>
      <w:r w:rsidRPr="008C3F71">
        <w:rPr>
          <w:b/>
          <w:szCs w:val="24"/>
          <w:u w:val="single"/>
        </w:rPr>
        <w:t xml:space="preserve">Adoption </w:t>
      </w:r>
      <w:r w:rsidRPr="004C727E">
        <w:rPr>
          <w:b/>
          <w:szCs w:val="24"/>
          <w:u w:val="single"/>
        </w:rPr>
        <w:t xml:space="preserve">of </w:t>
      </w:r>
      <w:proofErr w:type="spellStart"/>
      <w:r w:rsidRPr="004C727E">
        <w:rPr>
          <w:b/>
          <w:szCs w:val="24"/>
          <w:u w:val="single"/>
        </w:rPr>
        <w:t>Osma</w:t>
      </w:r>
      <w:proofErr w:type="spellEnd"/>
      <w:r w:rsidRPr="008F07E3">
        <w:rPr>
          <w:b/>
          <w:szCs w:val="24"/>
        </w:rPr>
        <w:t>, 94 Mass. App. Ct. 1119 (2019) (Mass. App. Ct. Rule 1:28)</w:t>
      </w:r>
      <w:r w:rsidR="001A1AA8">
        <w:rPr>
          <w:b/>
          <w:szCs w:val="24"/>
        </w:rPr>
        <w:t xml:space="preserve"> (Agnes, Henry, Shin)</w:t>
      </w:r>
      <w:r w:rsidRPr="004C727E">
        <w:rPr>
          <w:szCs w:val="24"/>
        </w:rPr>
        <w:t>.</w:t>
      </w:r>
      <w:r>
        <w:rPr>
          <w:szCs w:val="24"/>
        </w:rPr>
        <w:t xml:space="preserve">  In </w:t>
      </w:r>
      <w:proofErr w:type="spellStart"/>
      <w:r w:rsidRPr="00461741">
        <w:rPr>
          <w:szCs w:val="24"/>
          <w:u w:val="single"/>
        </w:rPr>
        <w:t>Osma</w:t>
      </w:r>
      <w:proofErr w:type="spellEnd"/>
      <w:r>
        <w:rPr>
          <w:szCs w:val="24"/>
        </w:rPr>
        <w:t>, the m</w:t>
      </w:r>
      <w:r w:rsidRPr="004C727E">
        <w:rPr>
          <w:szCs w:val="24"/>
        </w:rPr>
        <w:t>other argued that the judge erred by not ordering sibling visitation</w:t>
      </w:r>
      <w:r>
        <w:rPr>
          <w:szCs w:val="24"/>
        </w:rPr>
        <w:t xml:space="preserve">.  </w:t>
      </w:r>
      <w:r w:rsidRPr="004C727E">
        <w:rPr>
          <w:szCs w:val="24"/>
        </w:rPr>
        <w:t xml:space="preserve">The child’s paternal aunt in Virginia planned to adopt her.  </w:t>
      </w:r>
      <w:r>
        <w:rPr>
          <w:szCs w:val="24"/>
        </w:rPr>
        <w:t>The judge terminated parental rights and ordered post-adoption vi</w:t>
      </w:r>
      <w:r w:rsidR="008C3F71">
        <w:rPr>
          <w:szCs w:val="24"/>
        </w:rPr>
        <w:t>s</w:t>
      </w:r>
      <w:r>
        <w:rPr>
          <w:szCs w:val="24"/>
        </w:rPr>
        <w:t xml:space="preserve">itation at the discretion of the adoptive parents.  </w:t>
      </w:r>
      <w:r w:rsidR="009F05FB">
        <w:rPr>
          <w:szCs w:val="24"/>
        </w:rPr>
        <w:t>The judge</w:t>
      </w:r>
      <w:r>
        <w:rPr>
          <w:szCs w:val="24"/>
        </w:rPr>
        <w:t xml:space="preserve"> found that it was the “customary routine” of the pre-adoptive parents to visit Massachusetts approximately twice a year for the child to visit the parents and that such visits “would continue,” thereby rendering an order unnecessary.</w:t>
      </w:r>
    </w:p>
    <w:p w14:paraId="40DBB5B4" w14:textId="77777777" w:rsidR="00527C43" w:rsidRDefault="00527C43" w:rsidP="00527C43">
      <w:pPr>
        <w:rPr>
          <w:szCs w:val="24"/>
        </w:rPr>
      </w:pPr>
    </w:p>
    <w:p w14:paraId="47D68013" w14:textId="77777777" w:rsidR="00527C43" w:rsidRDefault="00527C43" w:rsidP="00527C43">
      <w:pPr>
        <w:rPr>
          <w:szCs w:val="24"/>
        </w:rPr>
      </w:pPr>
      <w:r w:rsidRPr="004C727E">
        <w:rPr>
          <w:szCs w:val="24"/>
        </w:rPr>
        <w:t xml:space="preserve">The entirety of the </w:t>
      </w:r>
      <w:r>
        <w:rPr>
          <w:szCs w:val="24"/>
        </w:rPr>
        <w:t>panel’s</w:t>
      </w:r>
      <w:r w:rsidRPr="004C727E">
        <w:rPr>
          <w:szCs w:val="24"/>
        </w:rPr>
        <w:t xml:space="preserve"> discussion of sibling visitation is as follows:</w:t>
      </w:r>
    </w:p>
    <w:p w14:paraId="0AFC2FE6" w14:textId="77777777" w:rsidR="00527C43" w:rsidRPr="004C727E" w:rsidRDefault="00527C43" w:rsidP="00527C43">
      <w:pPr>
        <w:rPr>
          <w:szCs w:val="24"/>
        </w:rPr>
      </w:pPr>
    </w:p>
    <w:p w14:paraId="07C6399D" w14:textId="12C1621D" w:rsidR="00527C43" w:rsidRDefault="00527C43" w:rsidP="00527C43">
      <w:pPr>
        <w:ind w:left="720" w:right="720"/>
        <w:rPr>
          <w:color w:val="212121"/>
          <w:szCs w:val="24"/>
        </w:rPr>
      </w:pPr>
      <w:r>
        <w:rPr>
          <w:color w:val="212121"/>
          <w:szCs w:val="24"/>
        </w:rPr>
        <w:t>“</w:t>
      </w:r>
      <w:r w:rsidRPr="004C727E">
        <w:rPr>
          <w:color w:val="212121"/>
          <w:szCs w:val="24"/>
        </w:rPr>
        <w:t xml:space="preserve">If siblings are separated through adoption, a judge ‘shall, whenever reasonable and practical based upon the best interests of the child, ensure that the children ... shall have access </w:t>
      </w:r>
      <w:r>
        <w:rPr>
          <w:color w:val="212121"/>
          <w:szCs w:val="24"/>
        </w:rPr>
        <w:t>to and visitation with siblings.</w:t>
      </w:r>
      <w:r w:rsidRPr="004C727E">
        <w:rPr>
          <w:color w:val="212121"/>
          <w:szCs w:val="24"/>
        </w:rPr>
        <w:t>” </w:t>
      </w:r>
      <w:r w:rsidRPr="0033690D">
        <w:rPr>
          <w:rStyle w:val="counderline"/>
          <w:szCs w:val="24"/>
          <w:u w:val="single"/>
        </w:rPr>
        <w:t>Adoption of Zander</w:t>
      </w:r>
      <w:r w:rsidRPr="0033690D">
        <w:rPr>
          <w:szCs w:val="24"/>
        </w:rPr>
        <w:t xml:space="preserve">, 83 Mass. </w:t>
      </w:r>
      <w:r w:rsidRPr="0033690D">
        <w:rPr>
          <w:szCs w:val="24"/>
        </w:rPr>
        <w:lastRenderedPageBreak/>
        <w:t>363, 367 (2013)</w:t>
      </w:r>
      <w:r w:rsidRPr="004C727E">
        <w:rPr>
          <w:color w:val="212121"/>
          <w:szCs w:val="24"/>
        </w:rPr>
        <w:t>, quoting </w:t>
      </w:r>
      <w:r w:rsidRPr="0033690D">
        <w:rPr>
          <w:szCs w:val="24"/>
        </w:rPr>
        <w:t>G. L. c. 119, § 26B(</w:t>
      </w:r>
      <w:r w:rsidRPr="001050BD">
        <w:rPr>
          <w:rStyle w:val="counderline"/>
          <w:szCs w:val="24"/>
        </w:rPr>
        <w:t>b</w:t>
      </w:r>
      <w:r w:rsidRPr="0033690D">
        <w:rPr>
          <w:szCs w:val="24"/>
        </w:rPr>
        <w:t>)</w:t>
      </w:r>
      <w:r w:rsidRPr="004C727E">
        <w:rPr>
          <w:color w:val="212121"/>
          <w:szCs w:val="24"/>
        </w:rPr>
        <w:t>. The judge</w:t>
      </w:r>
      <w:r>
        <w:rPr>
          <w:color w:val="212121"/>
          <w:szCs w:val="24"/>
        </w:rPr>
        <w:t>’</w:t>
      </w:r>
      <w:r w:rsidRPr="004C727E">
        <w:rPr>
          <w:color w:val="212121"/>
          <w:szCs w:val="24"/>
        </w:rPr>
        <w:t>s order provides that “the parents are encouraged to include [the child</w:t>
      </w:r>
      <w:r>
        <w:rPr>
          <w:color w:val="212121"/>
          <w:szCs w:val="24"/>
        </w:rPr>
        <w:t>’</w:t>
      </w:r>
      <w:r w:rsidRPr="004C727E">
        <w:rPr>
          <w:color w:val="212121"/>
          <w:szCs w:val="24"/>
        </w:rPr>
        <w:t>s] sisters</w:t>
      </w:r>
      <w:r>
        <w:rPr>
          <w:color w:val="212121"/>
          <w:szCs w:val="24"/>
        </w:rPr>
        <w:t xml:space="preserve"> . . .</w:t>
      </w:r>
      <w:r w:rsidRPr="004C727E">
        <w:rPr>
          <w:color w:val="212121"/>
          <w:szCs w:val="24"/>
        </w:rPr>
        <w:t xml:space="preserve"> in </w:t>
      </w:r>
      <w:r w:rsidR="009F05FB">
        <w:rPr>
          <w:color w:val="212121"/>
          <w:szCs w:val="24"/>
        </w:rPr>
        <w:t>[parent-child post-adoption]</w:t>
      </w:r>
      <w:r w:rsidRPr="004C727E">
        <w:rPr>
          <w:color w:val="212121"/>
          <w:szCs w:val="24"/>
        </w:rPr>
        <w:t xml:space="preserve"> contact to ensure that the child maintains contact with these siblings.” We interpret this to require that when the </w:t>
      </w:r>
      <w:proofErr w:type="spellStart"/>
      <w:r w:rsidRPr="004C727E">
        <w:rPr>
          <w:color w:val="212121"/>
          <w:szCs w:val="24"/>
        </w:rPr>
        <w:t>preadoptive</w:t>
      </w:r>
      <w:proofErr w:type="spellEnd"/>
      <w:r w:rsidRPr="004C727E">
        <w:rPr>
          <w:color w:val="212121"/>
          <w:szCs w:val="24"/>
        </w:rPr>
        <w:t xml:space="preserve"> parents visit Massachusetts, all reasonable and practical steps must be taken to ensure that the child has visitation with her siblings.</w:t>
      </w:r>
    </w:p>
    <w:p w14:paraId="5A9CF235" w14:textId="77777777" w:rsidR="00527C43" w:rsidRPr="004C727E" w:rsidRDefault="00527C43" w:rsidP="00527C43">
      <w:pPr>
        <w:ind w:left="720" w:right="720"/>
        <w:rPr>
          <w:color w:val="212121"/>
          <w:szCs w:val="24"/>
        </w:rPr>
      </w:pPr>
    </w:p>
    <w:p w14:paraId="5204C19B" w14:textId="0F79AC00" w:rsidR="00527C43" w:rsidRPr="00527C43" w:rsidRDefault="00527C43" w:rsidP="00527C43">
      <w:pPr>
        <w:rPr>
          <w:rStyle w:val="basicfont1"/>
          <w:rFonts w:ascii="Times New Roman" w:hAnsi="Times New Roman"/>
          <w:color w:val="000000"/>
          <w:szCs w:val="24"/>
        </w:rPr>
      </w:pPr>
      <w:r>
        <w:rPr>
          <w:szCs w:val="24"/>
        </w:rPr>
        <w:t>T</w:t>
      </w:r>
      <w:r w:rsidRPr="004C727E">
        <w:rPr>
          <w:szCs w:val="24"/>
        </w:rPr>
        <w:t xml:space="preserve">he panel’s interpretation of the trial court’s </w:t>
      </w:r>
      <w:r>
        <w:rPr>
          <w:szCs w:val="24"/>
        </w:rPr>
        <w:t>non-</w:t>
      </w:r>
      <w:r w:rsidRPr="004C727E">
        <w:rPr>
          <w:szCs w:val="24"/>
        </w:rPr>
        <w:t>order is generous</w:t>
      </w:r>
      <w:r>
        <w:rPr>
          <w:szCs w:val="24"/>
        </w:rPr>
        <w:t>.  (In fact, I can’t imagine that the pre-adoptive parents ever interpreted the trial court’s “encourage[</w:t>
      </w:r>
      <w:proofErr w:type="spellStart"/>
      <w:r>
        <w:rPr>
          <w:szCs w:val="24"/>
        </w:rPr>
        <w:t>ment</w:t>
      </w:r>
      <w:proofErr w:type="spellEnd"/>
      <w:r>
        <w:rPr>
          <w:szCs w:val="24"/>
        </w:rPr>
        <w:t xml:space="preserve">]” as an order at all.  A better response by the panel would have been a remand for clarification and amendment of the order.)  Further, the panel’s reasoning in </w:t>
      </w:r>
      <w:proofErr w:type="spellStart"/>
      <w:r w:rsidRPr="002D4E50">
        <w:rPr>
          <w:szCs w:val="24"/>
          <w:u w:val="single"/>
        </w:rPr>
        <w:t>Osma</w:t>
      </w:r>
      <w:proofErr w:type="spellEnd"/>
      <w:r>
        <w:rPr>
          <w:szCs w:val="24"/>
        </w:rPr>
        <w:t xml:space="preserve"> contrasts with that of the panel in </w:t>
      </w:r>
      <w:r w:rsidRPr="003C060B">
        <w:rPr>
          <w:color w:val="000000"/>
          <w:szCs w:val="24"/>
          <w:u w:val="single"/>
        </w:rPr>
        <w:t>Adoption of Gerald</w:t>
      </w:r>
      <w:r w:rsidRPr="003C060B">
        <w:rPr>
          <w:color w:val="000000"/>
          <w:szCs w:val="24"/>
        </w:rPr>
        <w:t>, 73 Mass. App</w:t>
      </w:r>
      <w:r w:rsidRPr="00527C43">
        <w:rPr>
          <w:color w:val="000000"/>
          <w:szCs w:val="24"/>
        </w:rPr>
        <w:t>. Ct. 1116 (2009)</w:t>
      </w:r>
      <w:r w:rsidRPr="00527C43">
        <w:rPr>
          <w:color w:val="000000"/>
          <w:kern w:val="28"/>
          <w:szCs w:val="24"/>
        </w:rPr>
        <w:t xml:space="preserve"> (Mass. App. Ct. Rule 1:28)</w:t>
      </w:r>
      <w:r w:rsidR="008C3F71">
        <w:rPr>
          <w:color w:val="000000"/>
          <w:kern w:val="28"/>
          <w:szCs w:val="24"/>
        </w:rPr>
        <w:t xml:space="preserve">. </w:t>
      </w:r>
      <w:r w:rsidRPr="00527C43">
        <w:rPr>
          <w:color w:val="000000"/>
          <w:kern w:val="28"/>
          <w:szCs w:val="24"/>
        </w:rPr>
        <w:t xml:space="preserve"> In </w:t>
      </w:r>
      <w:r w:rsidRPr="00527C43">
        <w:rPr>
          <w:color w:val="000000"/>
          <w:kern w:val="28"/>
          <w:szCs w:val="24"/>
          <w:u w:val="single"/>
        </w:rPr>
        <w:t>Gerald</w:t>
      </w:r>
      <w:r w:rsidRPr="00527C43">
        <w:rPr>
          <w:color w:val="000000"/>
          <w:kern w:val="28"/>
          <w:szCs w:val="24"/>
        </w:rPr>
        <w:t xml:space="preserve">, </w:t>
      </w:r>
      <w:r w:rsidRPr="00527C43">
        <w:rPr>
          <w:szCs w:val="24"/>
        </w:rPr>
        <w:t>the panel remanded</w:t>
      </w:r>
      <w:r w:rsidRPr="00527C43">
        <w:rPr>
          <w:rStyle w:val="basicfont1"/>
          <w:rFonts w:ascii="Times New Roman" w:hAnsi="Times New Roman"/>
          <w:color w:val="000000"/>
          <w:szCs w:val="24"/>
        </w:rPr>
        <w:t xml:space="preserve"> for a more specific sibling visitation determination and scheduling order by the trial court.</w:t>
      </w:r>
    </w:p>
    <w:p w14:paraId="1B8435CC" w14:textId="77777777" w:rsidR="00527C43" w:rsidRPr="00527C43" w:rsidRDefault="00527C43" w:rsidP="00527C43">
      <w:pPr>
        <w:rPr>
          <w:rStyle w:val="basicfont1"/>
          <w:rFonts w:ascii="Times New Roman" w:hAnsi="Times New Roman"/>
          <w:color w:val="000000"/>
          <w:szCs w:val="24"/>
        </w:rPr>
      </w:pPr>
    </w:p>
    <w:p w14:paraId="3A108876" w14:textId="2990CD30" w:rsidR="00527C43" w:rsidRPr="00527C43" w:rsidRDefault="00527C43" w:rsidP="00527C43">
      <w:pPr>
        <w:rPr>
          <w:rStyle w:val="basicfont1"/>
          <w:rFonts w:ascii="Times New Roman" w:hAnsi="Times New Roman"/>
          <w:color w:val="000000"/>
          <w:szCs w:val="24"/>
        </w:rPr>
      </w:pPr>
      <w:r w:rsidRPr="008A4516">
        <w:rPr>
          <w:rStyle w:val="basicfont1"/>
          <w:rFonts w:ascii="Times New Roman" w:hAnsi="Times New Roman"/>
          <w:b/>
          <w:color w:val="000000"/>
          <w:szCs w:val="24"/>
        </w:rPr>
        <w:t xml:space="preserve">The takeaway for trial </w:t>
      </w:r>
      <w:r w:rsidR="008C3F71">
        <w:rPr>
          <w:rStyle w:val="basicfont1"/>
          <w:rFonts w:ascii="Times New Roman" w:hAnsi="Times New Roman"/>
          <w:b/>
          <w:color w:val="000000"/>
          <w:szCs w:val="24"/>
        </w:rPr>
        <w:t>and</w:t>
      </w:r>
      <w:r w:rsidRPr="008A4516">
        <w:rPr>
          <w:rStyle w:val="basicfont1"/>
          <w:rFonts w:ascii="Times New Roman" w:hAnsi="Times New Roman"/>
          <w:b/>
          <w:color w:val="000000"/>
          <w:szCs w:val="24"/>
        </w:rPr>
        <w:t xml:space="preserve"> appellate counsel?</w:t>
      </w:r>
      <w:r w:rsidRPr="00527C43">
        <w:rPr>
          <w:rStyle w:val="basicfont1"/>
          <w:rFonts w:ascii="Times New Roman" w:hAnsi="Times New Roman"/>
          <w:color w:val="000000"/>
          <w:szCs w:val="24"/>
        </w:rPr>
        <w:t xml:space="preserve">  If a post-termination, post-adoption, or sibling contact order is vague or ambiguous – as part of the findings</w:t>
      </w:r>
      <w:r w:rsidR="008C3F71">
        <w:rPr>
          <w:rStyle w:val="basicfont1"/>
          <w:rFonts w:ascii="Times New Roman" w:hAnsi="Times New Roman"/>
          <w:color w:val="000000"/>
          <w:szCs w:val="24"/>
        </w:rPr>
        <w:t>/conclusions</w:t>
      </w:r>
      <w:r w:rsidRPr="00527C43">
        <w:rPr>
          <w:rStyle w:val="basicfont1"/>
          <w:rFonts w:ascii="Times New Roman" w:hAnsi="Times New Roman"/>
          <w:color w:val="000000"/>
          <w:szCs w:val="24"/>
        </w:rPr>
        <w:t xml:space="preserve"> or a separate order – take it back to the trial judge immediately on a motion for clarification or motion to amend.  Don’t wait for the Appeals Court to attempt to divine the trial judge’s intentions.  Parents and children are entitled to clear, unambiguous orders, especially those that are intended to survive (and be enforceable) after adoption.</w:t>
      </w:r>
    </w:p>
    <w:p w14:paraId="274FD6EF" w14:textId="77777777" w:rsidR="00527C43" w:rsidRPr="008F07E3" w:rsidRDefault="00527C43" w:rsidP="00527C43">
      <w:pPr>
        <w:rPr>
          <w:b/>
          <w:color w:val="000000"/>
          <w:szCs w:val="24"/>
        </w:rPr>
      </w:pPr>
    </w:p>
    <w:p w14:paraId="3CF54DEA" w14:textId="0B46EA7F" w:rsidR="00527C43" w:rsidRDefault="00527C43" w:rsidP="00527C43">
      <w:pPr>
        <w:rPr>
          <w:szCs w:val="24"/>
        </w:rPr>
      </w:pPr>
      <w:r w:rsidRPr="00B001B4">
        <w:rPr>
          <w:b/>
          <w:szCs w:val="24"/>
        </w:rPr>
        <w:t>3.</w:t>
      </w:r>
      <w:r w:rsidRPr="00527C43">
        <w:rPr>
          <w:szCs w:val="24"/>
        </w:rPr>
        <w:t xml:space="preserve"> </w:t>
      </w:r>
      <w:r w:rsidRPr="004C727E">
        <w:rPr>
          <w:b/>
          <w:szCs w:val="24"/>
          <w:u w:val="single"/>
        </w:rPr>
        <w:t xml:space="preserve">Adoption of </w:t>
      </w:r>
      <w:proofErr w:type="spellStart"/>
      <w:r w:rsidRPr="004C727E">
        <w:rPr>
          <w:b/>
          <w:szCs w:val="24"/>
          <w:u w:val="single"/>
        </w:rPr>
        <w:t>Ido</w:t>
      </w:r>
      <w:proofErr w:type="spellEnd"/>
      <w:r w:rsidRPr="008F07E3">
        <w:rPr>
          <w:b/>
          <w:szCs w:val="24"/>
        </w:rPr>
        <w:t>, 95 Mass. App. Ct. 1106 (2019) (Mass App. Ct. Rule 1:28)</w:t>
      </w:r>
      <w:r w:rsidR="001A1AA8">
        <w:rPr>
          <w:b/>
          <w:szCs w:val="24"/>
        </w:rPr>
        <w:t xml:space="preserve"> (</w:t>
      </w:r>
      <w:proofErr w:type="spellStart"/>
      <w:r w:rsidR="001A1AA8">
        <w:rPr>
          <w:b/>
          <w:szCs w:val="24"/>
        </w:rPr>
        <w:t>Vuono</w:t>
      </w:r>
      <w:proofErr w:type="spellEnd"/>
      <w:r w:rsidR="001A1AA8">
        <w:rPr>
          <w:b/>
          <w:szCs w:val="24"/>
        </w:rPr>
        <w:t>, Desmond, Singh)</w:t>
      </w:r>
      <w:r w:rsidR="00B80DFE">
        <w:rPr>
          <w:b/>
          <w:szCs w:val="24"/>
        </w:rPr>
        <w:t xml:space="preserve">.  </w:t>
      </w:r>
      <w:proofErr w:type="spellStart"/>
      <w:r w:rsidR="00B80DFE" w:rsidRPr="00B80DFE">
        <w:rPr>
          <w:szCs w:val="24"/>
          <w:u w:val="single"/>
        </w:rPr>
        <w:t>Ido</w:t>
      </w:r>
      <w:proofErr w:type="spellEnd"/>
      <w:r w:rsidRPr="004C727E">
        <w:rPr>
          <w:szCs w:val="24"/>
        </w:rPr>
        <w:t xml:space="preserve"> concerned the youngest six of </w:t>
      </w:r>
      <w:r>
        <w:rPr>
          <w:szCs w:val="24"/>
        </w:rPr>
        <w:t>the mother’s</w:t>
      </w:r>
      <w:r w:rsidRPr="004C727E">
        <w:rPr>
          <w:szCs w:val="24"/>
        </w:rPr>
        <w:t xml:space="preserve"> twelve children.  One of the six, Jane, challenged the termination of her mother’s rights </w:t>
      </w:r>
      <w:r>
        <w:rPr>
          <w:szCs w:val="24"/>
        </w:rPr>
        <w:t>because</w:t>
      </w:r>
      <w:r w:rsidRPr="004C727E">
        <w:rPr>
          <w:szCs w:val="24"/>
        </w:rPr>
        <w:t xml:space="preserve"> her pre</w:t>
      </w:r>
      <w:r>
        <w:rPr>
          <w:szCs w:val="24"/>
        </w:rPr>
        <w:t>-</w:t>
      </w:r>
      <w:r w:rsidRPr="004C727E">
        <w:rPr>
          <w:szCs w:val="24"/>
        </w:rPr>
        <w:t xml:space="preserve">adoptive placement disrupted.  </w:t>
      </w:r>
      <w:r>
        <w:rPr>
          <w:szCs w:val="24"/>
        </w:rPr>
        <w:t>DCF</w:t>
      </w:r>
      <w:r w:rsidRPr="004C727E">
        <w:rPr>
          <w:szCs w:val="24"/>
        </w:rPr>
        <w:t xml:space="preserve"> knew that the placement had disrupted at the time the decree was entered but </w:t>
      </w:r>
      <w:r>
        <w:rPr>
          <w:szCs w:val="24"/>
        </w:rPr>
        <w:t>never</w:t>
      </w:r>
      <w:r w:rsidRPr="004C727E">
        <w:rPr>
          <w:szCs w:val="24"/>
        </w:rPr>
        <w:t xml:space="preserve"> informed the judge.  However, neither Jane nor the mother moved to reopen the evidence or for reconsideration</w:t>
      </w:r>
      <w:r>
        <w:rPr>
          <w:szCs w:val="24"/>
        </w:rPr>
        <w:t xml:space="preserve">.  As a result, </w:t>
      </w:r>
      <w:r w:rsidRPr="004C727E">
        <w:rPr>
          <w:szCs w:val="24"/>
        </w:rPr>
        <w:t>the panel affirmed the termination</w:t>
      </w:r>
      <w:r>
        <w:rPr>
          <w:szCs w:val="24"/>
        </w:rPr>
        <w:t xml:space="preserve"> decree</w:t>
      </w:r>
      <w:r w:rsidRPr="004C727E">
        <w:rPr>
          <w:szCs w:val="24"/>
        </w:rPr>
        <w:t xml:space="preserve">.  </w:t>
      </w:r>
    </w:p>
    <w:p w14:paraId="29BAE19A" w14:textId="77777777" w:rsidR="00527C43" w:rsidRPr="004C727E" w:rsidRDefault="00527C43" w:rsidP="00527C43">
      <w:pPr>
        <w:rPr>
          <w:szCs w:val="24"/>
        </w:rPr>
      </w:pPr>
    </w:p>
    <w:p w14:paraId="016D9163" w14:textId="77777777" w:rsidR="00527C43" w:rsidRDefault="00527C43" w:rsidP="00527C43">
      <w:pPr>
        <w:rPr>
          <w:szCs w:val="24"/>
        </w:rPr>
      </w:pPr>
      <w:r w:rsidRPr="004C727E">
        <w:rPr>
          <w:szCs w:val="24"/>
        </w:rPr>
        <w:t>Jane also challenged the denial of post</w:t>
      </w:r>
      <w:r>
        <w:rPr>
          <w:szCs w:val="24"/>
        </w:rPr>
        <w:t>-</w:t>
      </w:r>
      <w:r w:rsidRPr="004C727E">
        <w:rPr>
          <w:szCs w:val="24"/>
        </w:rPr>
        <w:t>termination and post</w:t>
      </w:r>
      <w:r>
        <w:rPr>
          <w:szCs w:val="24"/>
        </w:rPr>
        <w:t>-</w:t>
      </w:r>
      <w:r w:rsidRPr="004C727E">
        <w:rPr>
          <w:szCs w:val="24"/>
        </w:rPr>
        <w:t xml:space="preserve">adoption visitation.  Here, the panel did consider the disruption of </w:t>
      </w:r>
      <w:r>
        <w:rPr>
          <w:szCs w:val="24"/>
        </w:rPr>
        <w:t>Jane’s</w:t>
      </w:r>
      <w:r w:rsidRPr="004C727E">
        <w:rPr>
          <w:szCs w:val="24"/>
        </w:rPr>
        <w:t xml:space="preserve"> pre</w:t>
      </w:r>
      <w:r>
        <w:rPr>
          <w:szCs w:val="24"/>
        </w:rPr>
        <w:t>-</w:t>
      </w:r>
      <w:r w:rsidRPr="004C727E">
        <w:rPr>
          <w:szCs w:val="24"/>
        </w:rPr>
        <w:t>adoptive placement, noting that the lack of an identified pre</w:t>
      </w:r>
      <w:r>
        <w:rPr>
          <w:szCs w:val="24"/>
        </w:rPr>
        <w:t>-</w:t>
      </w:r>
      <w:r w:rsidRPr="004C727E">
        <w:rPr>
          <w:szCs w:val="24"/>
        </w:rPr>
        <w:t xml:space="preserve">adoptive family, </w:t>
      </w:r>
      <w:r>
        <w:rPr>
          <w:szCs w:val="24"/>
        </w:rPr>
        <w:t>together with</w:t>
      </w:r>
      <w:r w:rsidRPr="004C727E">
        <w:rPr>
          <w:szCs w:val="24"/>
        </w:rPr>
        <w:t xml:space="preserve"> the termination of the mother’s parental rights</w:t>
      </w:r>
      <w:r>
        <w:rPr>
          <w:szCs w:val="24"/>
        </w:rPr>
        <w:t>, were “</w:t>
      </w:r>
      <w:r w:rsidRPr="004C727E">
        <w:rPr>
          <w:szCs w:val="24"/>
        </w:rPr>
        <w:t xml:space="preserve">precisely the circumstances in which an order for </w:t>
      </w:r>
      <w:proofErr w:type="spellStart"/>
      <w:r w:rsidRPr="004C727E">
        <w:rPr>
          <w:szCs w:val="24"/>
        </w:rPr>
        <w:t>posttermination</w:t>
      </w:r>
      <w:proofErr w:type="spellEnd"/>
      <w:r w:rsidRPr="004C727E">
        <w:rPr>
          <w:szCs w:val="24"/>
        </w:rPr>
        <w:t xml:space="preserve"> as well as postadoption contact may be appropriate and warranted.</w:t>
      </w:r>
      <w:r>
        <w:rPr>
          <w:szCs w:val="24"/>
        </w:rPr>
        <w:t xml:space="preserve">”  </w:t>
      </w:r>
      <w:proofErr w:type="spellStart"/>
      <w:r w:rsidRPr="008F07E3">
        <w:rPr>
          <w:szCs w:val="24"/>
          <w:u w:val="single"/>
        </w:rPr>
        <w:t>Ido</w:t>
      </w:r>
      <w:proofErr w:type="spellEnd"/>
      <w:r>
        <w:rPr>
          <w:szCs w:val="24"/>
          <w:u w:val="single"/>
        </w:rPr>
        <w:t xml:space="preserve"> </w:t>
      </w:r>
      <w:r>
        <w:rPr>
          <w:szCs w:val="24"/>
        </w:rPr>
        <w:t>(citing</w:t>
      </w:r>
      <w:r w:rsidRPr="004C727E">
        <w:rPr>
          <w:szCs w:val="24"/>
        </w:rPr>
        <w:t xml:space="preserve"> </w:t>
      </w:r>
      <w:r w:rsidRPr="004C727E">
        <w:rPr>
          <w:szCs w:val="24"/>
          <w:u w:val="single"/>
        </w:rPr>
        <w:t>Adoption of Rico</w:t>
      </w:r>
      <w:r w:rsidRPr="004C727E">
        <w:rPr>
          <w:szCs w:val="24"/>
        </w:rPr>
        <w:t>, 453 Mass. 749, 755 (2009)</w:t>
      </w:r>
      <w:r>
        <w:rPr>
          <w:szCs w:val="24"/>
        </w:rPr>
        <w:t>).</w:t>
      </w:r>
      <w:r w:rsidRPr="004C727E">
        <w:rPr>
          <w:szCs w:val="24"/>
        </w:rPr>
        <w:t xml:space="preserve">  The panel </w:t>
      </w:r>
      <w:r>
        <w:rPr>
          <w:szCs w:val="24"/>
        </w:rPr>
        <w:t xml:space="preserve">vacated the decree </w:t>
      </w:r>
      <w:r w:rsidRPr="004C727E">
        <w:rPr>
          <w:szCs w:val="24"/>
        </w:rPr>
        <w:t xml:space="preserve">for further consideration of </w:t>
      </w:r>
      <w:r>
        <w:rPr>
          <w:szCs w:val="24"/>
        </w:rPr>
        <w:t xml:space="preserve">post-termination and post-adoption </w:t>
      </w:r>
      <w:r w:rsidRPr="004C727E">
        <w:rPr>
          <w:szCs w:val="24"/>
        </w:rPr>
        <w:t>visitation.</w:t>
      </w:r>
    </w:p>
    <w:p w14:paraId="636F3E88" w14:textId="77777777" w:rsidR="00527C43" w:rsidRPr="004C727E" w:rsidRDefault="00527C43" w:rsidP="00527C43">
      <w:pPr>
        <w:rPr>
          <w:szCs w:val="24"/>
        </w:rPr>
      </w:pPr>
    </w:p>
    <w:p w14:paraId="3DBED0C2" w14:textId="77777777" w:rsidR="00527C43" w:rsidRDefault="00527C43" w:rsidP="00527C43">
      <w:pPr>
        <w:rPr>
          <w:szCs w:val="24"/>
        </w:rPr>
      </w:pPr>
      <w:r w:rsidRPr="004C727E">
        <w:rPr>
          <w:szCs w:val="24"/>
        </w:rPr>
        <w:t xml:space="preserve">Finally, Jane challenged the </w:t>
      </w:r>
      <w:r>
        <w:rPr>
          <w:szCs w:val="24"/>
        </w:rPr>
        <w:t xml:space="preserve">lack of </w:t>
      </w:r>
      <w:r w:rsidRPr="004C727E">
        <w:rPr>
          <w:szCs w:val="24"/>
        </w:rPr>
        <w:t>sibling visitation</w:t>
      </w:r>
      <w:r>
        <w:rPr>
          <w:szCs w:val="24"/>
        </w:rPr>
        <w:t xml:space="preserve">.  The judge declined to order any because it was not </w:t>
      </w:r>
      <w:r w:rsidRPr="004C727E">
        <w:rPr>
          <w:szCs w:val="24"/>
        </w:rPr>
        <w:t>reasonable or practical</w:t>
      </w:r>
      <w:r>
        <w:rPr>
          <w:szCs w:val="24"/>
        </w:rPr>
        <w:t>; there were 12 children, three over the age of 18, and they lived in “various homes, plac</w:t>
      </w:r>
      <w:r w:rsidRPr="004C727E">
        <w:rPr>
          <w:szCs w:val="24"/>
        </w:rPr>
        <w:t xml:space="preserve">ements, and </w:t>
      </w:r>
      <w:r>
        <w:rPr>
          <w:szCs w:val="24"/>
        </w:rPr>
        <w:t>[states].”</w:t>
      </w:r>
      <w:r w:rsidRPr="004C727E">
        <w:rPr>
          <w:szCs w:val="24"/>
        </w:rPr>
        <w:t xml:space="preserve"> </w:t>
      </w:r>
      <w:r>
        <w:rPr>
          <w:szCs w:val="24"/>
        </w:rPr>
        <w:t xml:space="preserve"> </w:t>
      </w:r>
      <w:r w:rsidRPr="004C727E">
        <w:rPr>
          <w:szCs w:val="24"/>
        </w:rPr>
        <w:t>Instead</w:t>
      </w:r>
      <w:r>
        <w:rPr>
          <w:szCs w:val="24"/>
        </w:rPr>
        <w:t xml:space="preserve"> of an order, the judge </w:t>
      </w:r>
      <w:r w:rsidRPr="004C727E">
        <w:rPr>
          <w:szCs w:val="24"/>
        </w:rPr>
        <w:t xml:space="preserve">indicated that he </w:t>
      </w:r>
      <w:r>
        <w:rPr>
          <w:szCs w:val="24"/>
        </w:rPr>
        <w:t>“</w:t>
      </w:r>
      <w:r w:rsidRPr="004C727E">
        <w:rPr>
          <w:szCs w:val="24"/>
        </w:rPr>
        <w:t>expected</w:t>
      </w:r>
      <w:r>
        <w:rPr>
          <w:szCs w:val="24"/>
        </w:rPr>
        <w:t>”</w:t>
      </w:r>
      <w:r w:rsidRPr="004C727E">
        <w:rPr>
          <w:szCs w:val="24"/>
        </w:rPr>
        <w:t xml:space="preserve"> </w:t>
      </w:r>
      <w:r>
        <w:rPr>
          <w:szCs w:val="24"/>
        </w:rPr>
        <w:t>DCF,</w:t>
      </w:r>
      <w:r w:rsidRPr="004C727E">
        <w:rPr>
          <w:szCs w:val="24"/>
        </w:rPr>
        <w:t xml:space="preserve"> as well as future adoptive parents and custodians of the children</w:t>
      </w:r>
      <w:r>
        <w:rPr>
          <w:szCs w:val="24"/>
        </w:rPr>
        <w:t>, “</w:t>
      </w:r>
      <w:r w:rsidRPr="004C727E">
        <w:rPr>
          <w:szCs w:val="24"/>
        </w:rPr>
        <w:t xml:space="preserve">to collaborate with each other in order to maintain sibling contact and visitation consistent with each child’s best interests.”  In a footnote, the panel diplomatically explained why </w:t>
      </w:r>
      <w:r>
        <w:rPr>
          <w:szCs w:val="24"/>
        </w:rPr>
        <w:t xml:space="preserve">this “expectation” </w:t>
      </w:r>
      <w:r w:rsidRPr="004C727E">
        <w:rPr>
          <w:szCs w:val="24"/>
        </w:rPr>
        <w:t>was insufficient:</w:t>
      </w:r>
    </w:p>
    <w:p w14:paraId="5C5B7040" w14:textId="77777777" w:rsidR="00527C43" w:rsidRPr="004C727E" w:rsidRDefault="00527C43" w:rsidP="00527C43">
      <w:pPr>
        <w:rPr>
          <w:szCs w:val="24"/>
        </w:rPr>
      </w:pPr>
    </w:p>
    <w:p w14:paraId="3AEE35EB" w14:textId="77777777" w:rsidR="00527C43" w:rsidRDefault="00527C43" w:rsidP="00527C43">
      <w:pPr>
        <w:ind w:left="720" w:right="720"/>
        <w:rPr>
          <w:szCs w:val="24"/>
        </w:rPr>
      </w:pPr>
      <w:r w:rsidRPr="004C727E">
        <w:rPr>
          <w:szCs w:val="24"/>
        </w:rPr>
        <w:t>We sympathize with the judge</w:t>
      </w:r>
      <w:r>
        <w:rPr>
          <w:szCs w:val="24"/>
        </w:rPr>
        <w:t>’</w:t>
      </w:r>
      <w:r w:rsidRPr="004C727E">
        <w:rPr>
          <w:szCs w:val="24"/>
        </w:rPr>
        <w:t xml:space="preserve">s position, being presented with the formidable </w:t>
      </w:r>
      <w:r w:rsidRPr="004C727E">
        <w:rPr>
          <w:szCs w:val="24"/>
        </w:rPr>
        <w:lastRenderedPageBreak/>
        <w:t>task of ensuring sibling visitation in this complex circumstance. But it is precisely in these complicated scenarios where children are most at jeopardy of losing sibling contact; and, although the department may have its independent obligation to ensure sibling visitation under the statute, see </w:t>
      </w:r>
      <w:r w:rsidRPr="00193BEA">
        <w:rPr>
          <w:szCs w:val="24"/>
          <w:u w:val="single"/>
        </w:rPr>
        <w:t>Adoption of Garret</w:t>
      </w:r>
      <w:r w:rsidRPr="00193BEA">
        <w:rPr>
          <w:szCs w:val="24"/>
        </w:rPr>
        <w:t>, 92 Mass. App. Ct. 664, 679-681 (2018)</w:t>
      </w:r>
      <w:r w:rsidRPr="004C727E">
        <w:rPr>
          <w:szCs w:val="24"/>
        </w:rPr>
        <w:t>, any future adoptive parent is not so obligated. See </w:t>
      </w:r>
      <w:r w:rsidRPr="00193BEA">
        <w:rPr>
          <w:szCs w:val="24"/>
          <w:u w:val="single"/>
        </w:rPr>
        <w:t>Adoption of Zander</w:t>
      </w:r>
      <w:r w:rsidRPr="00193BEA">
        <w:rPr>
          <w:szCs w:val="24"/>
        </w:rPr>
        <w:t>, 83 Mass. App. Ct. at 367</w:t>
      </w:r>
      <w:r w:rsidRPr="004C727E">
        <w:rPr>
          <w:szCs w:val="24"/>
        </w:rPr>
        <w:t xml:space="preserve">. </w:t>
      </w:r>
      <w:r>
        <w:rPr>
          <w:szCs w:val="24"/>
        </w:rPr>
        <w:t xml:space="preserve"> </w:t>
      </w:r>
      <w:r w:rsidRPr="004C727E">
        <w:rPr>
          <w:szCs w:val="24"/>
        </w:rPr>
        <w:t>An “expectation” that a future custodian of the children will cooperate with sibling visitation falls short of an order requiring such visitation.</w:t>
      </w:r>
    </w:p>
    <w:p w14:paraId="5F975D13" w14:textId="77777777" w:rsidR="00527C43" w:rsidRPr="004C727E" w:rsidRDefault="00527C43" w:rsidP="00527C43">
      <w:pPr>
        <w:ind w:left="720" w:right="720"/>
        <w:rPr>
          <w:szCs w:val="24"/>
        </w:rPr>
      </w:pPr>
    </w:p>
    <w:p w14:paraId="4CDA8089" w14:textId="77777777" w:rsidR="00527C43" w:rsidRPr="000532C5" w:rsidRDefault="00527C43" w:rsidP="00527C43">
      <w:pPr>
        <w:rPr>
          <w:szCs w:val="24"/>
        </w:rPr>
      </w:pPr>
      <w:r w:rsidRPr="000532C5">
        <w:rPr>
          <w:szCs w:val="24"/>
        </w:rPr>
        <w:t xml:space="preserve">According to the panel, </w:t>
      </w:r>
      <w:r>
        <w:rPr>
          <w:szCs w:val="24"/>
        </w:rPr>
        <w:t>“[t]</w:t>
      </w:r>
      <w:r w:rsidRPr="008F07E3">
        <w:rPr>
          <w:color w:val="212121"/>
          <w:szCs w:val="24"/>
        </w:rPr>
        <w:t xml:space="preserve">here is nothing in this record to suggest that an order for </w:t>
      </w:r>
      <w:proofErr w:type="spellStart"/>
      <w:r w:rsidRPr="008F07E3">
        <w:rPr>
          <w:color w:val="212121"/>
          <w:szCs w:val="24"/>
        </w:rPr>
        <w:t>posttermination</w:t>
      </w:r>
      <w:proofErr w:type="spellEnd"/>
      <w:r w:rsidRPr="008F07E3">
        <w:rPr>
          <w:color w:val="212121"/>
          <w:szCs w:val="24"/>
        </w:rPr>
        <w:t xml:space="preserve"> and postadoption sibling visitation would not be in the best interests of these children.</w:t>
      </w:r>
      <w:r>
        <w:rPr>
          <w:color w:val="212121"/>
          <w:szCs w:val="24"/>
        </w:rPr>
        <w:t xml:space="preserve"> </w:t>
      </w:r>
      <w:r w:rsidRPr="008F07E3">
        <w:rPr>
          <w:color w:val="212121"/>
          <w:szCs w:val="24"/>
        </w:rPr>
        <w:t xml:space="preserve"> To the contrary, there is strong record support for the closeness of the entire sibling group. Notably, all six children are in favor of a sibling visitation order.</w:t>
      </w:r>
      <w:r>
        <w:rPr>
          <w:color w:val="212121"/>
          <w:szCs w:val="24"/>
        </w:rPr>
        <w:t xml:space="preserve">”  </w:t>
      </w:r>
      <w:proofErr w:type="spellStart"/>
      <w:r w:rsidRPr="008F07E3">
        <w:rPr>
          <w:color w:val="212121"/>
          <w:szCs w:val="24"/>
          <w:u w:val="single"/>
        </w:rPr>
        <w:t>Ido</w:t>
      </w:r>
      <w:proofErr w:type="spellEnd"/>
      <w:r>
        <w:rPr>
          <w:color w:val="212121"/>
          <w:szCs w:val="24"/>
        </w:rPr>
        <w:t xml:space="preserve"> (citations omitted).</w:t>
      </w:r>
    </w:p>
    <w:p w14:paraId="7581F16A" w14:textId="77777777" w:rsidR="00527C43" w:rsidRDefault="00527C43" w:rsidP="00527C43">
      <w:pPr>
        <w:rPr>
          <w:szCs w:val="24"/>
        </w:rPr>
      </w:pPr>
    </w:p>
    <w:p w14:paraId="1517740F" w14:textId="77777777" w:rsidR="00527C43" w:rsidRDefault="00527C43" w:rsidP="00527C43">
      <w:pPr>
        <w:rPr>
          <w:szCs w:val="24"/>
        </w:rPr>
      </w:pPr>
      <w:r>
        <w:rPr>
          <w:szCs w:val="24"/>
        </w:rPr>
        <w:t xml:space="preserve">Well said!  </w:t>
      </w:r>
      <w:r w:rsidRPr="004C727E">
        <w:rPr>
          <w:szCs w:val="24"/>
        </w:rPr>
        <w:t xml:space="preserve">The panel remanded </w:t>
      </w:r>
      <w:r>
        <w:rPr>
          <w:szCs w:val="24"/>
        </w:rPr>
        <w:t xml:space="preserve">for consideration of sibling visitation orders.  </w:t>
      </w:r>
      <w:proofErr w:type="spellStart"/>
      <w:r w:rsidRPr="00461741">
        <w:rPr>
          <w:szCs w:val="24"/>
          <w:u w:val="single"/>
        </w:rPr>
        <w:t>Ido</w:t>
      </w:r>
      <w:proofErr w:type="spellEnd"/>
      <w:r>
        <w:rPr>
          <w:szCs w:val="24"/>
        </w:rPr>
        <w:t xml:space="preserve"> is a great case to cite </w:t>
      </w:r>
      <w:r w:rsidRPr="004C727E">
        <w:rPr>
          <w:szCs w:val="24"/>
        </w:rPr>
        <w:t xml:space="preserve">when a judge </w:t>
      </w:r>
      <w:r>
        <w:rPr>
          <w:szCs w:val="24"/>
        </w:rPr>
        <w:t>uses</w:t>
      </w:r>
      <w:r w:rsidRPr="004C727E">
        <w:rPr>
          <w:szCs w:val="24"/>
        </w:rPr>
        <w:t xml:space="preserve"> </w:t>
      </w:r>
      <w:r>
        <w:rPr>
          <w:szCs w:val="24"/>
        </w:rPr>
        <w:t>logistical complications</w:t>
      </w:r>
      <w:r w:rsidRPr="004C727E">
        <w:rPr>
          <w:szCs w:val="24"/>
        </w:rPr>
        <w:t xml:space="preserve"> as an excuse not to order </w:t>
      </w:r>
      <w:r>
        <w:rPr>
          <w:szCs w:val="24"/>
        </w:rPr>
        <w:t xml:space="preserve">sibling </w:t>
      </w:r>
      <w:r w:rsidRPr="004C727E">
        <w:rPr>
          <w:szCs w:val="24"/>
        </w:rPr>
        <w:t>visits.</w:t>
      </w:r>
    </w:p>
    <w:p w14:paraId="3FCC235D" w14:textId="77777777" w:rsidR="00527C43" w:rsidRPr="004C727E" w:rsidRDefault="00527C43" w:rsidP="00527C43">
      <w:pPr>
        <w:rPr>
          <w:szCs w:val="24"/>
        </w:rPr>
      </w:pPr>
    </w:p>
    <w:p w14:paraId="15757E4E" w14:textId="5E883C69" w:rsidR="00527C43" w:rsidRDefault="00527C43" w:rsidP="00527C43">
      <w:pPr>
        <w:textAlignment w:val="baseline"/>
        <w:rPr>
          <w:color w:val="000000"/>
          <w:szCs w:val="24"/>
        </w:rPr>
      </w:pPr>
      <w:r w:rsidRPr="00B001B4">
        <w:rPr>
          <w:b/>
          <w:bCs/>
          <w:iCs/>
          <w:color w:val="000000"/>
          <w:szCs w:val="24"/>
        </w:rPr>
        <w:t>4.</w:t>
      </w:r>
      <w:r w:rsidRPr="00527C43">
        <w:rPr>
          <w:bCs/>
          <w:iCs/>
          <w:color w:val="000000"/>
          <w:szCs w:val="24"/>
        </w:rPr>
        <w:t xml:space="preserve"> </w:t>
      </w:r>
      <w:r w:rsidRPr="004C727E">
        <w:rPr>
          <w:b/>
          <w:bCs/>
          <w:iCs/>
          <w:color w:val="000000"/>
          <w:szCs w:val="24"/>
          <w:u w:val="single"/>
        </w:rPr>
        <w:t>Adoption of Xuan</w:t>
      </w:r>
      <w:r w:rsidRPr="004C727E">
        <w:rPr>
          <w:b/>
          <w:bCs/>
          <w:color w:val="000000"/>
          <w:szCs w:val="24"/>
        </w:rPr>
        <w:t>, 94 Mass. App. Ct. 1116 (2019) (Mass. App. Ct. Rule 1:28)</w:t>
      </w:r>
      <w:r w:rsidR="001A1AA8">
        <w:rPr>
          <w:b/>
          <w:bCs/>
          <w:color w:val="000000"/>
          <w:szCs w:val="24"/>
        </w:rPr>
        <w:t xml:space="preserve"> (Meade, Agnes, Englander)</w:t>
      </w:r>
      <w:r w:rsidR="007E6779">
        <w:rPr>
          <w:bCs/>
          <w:color w:val="000000"/>
          <w:szCs w:val="24"/>
        </w:rPr>
        <w:t xml:space="preserve">.  What do you do if the evidence shows a parent-child bond and a history of good visits and phone calls, but the judge makes no findings – or only clearly erroneous findings – about the bond and denies a request for post-adoption contact?  Cite </w:t>
      </w:r>
      <w:r w:rsidR="007E6779" w:rsidRPr="007E6779">
        <w:rPr>
          <w:bCs/>
          <w:color w:val="000000"/>
          <w:szCs w:val="24"/>
          <w:u w:val="single"/>
        </w:rPr>
        <w:t>Xuan</w:t>
      </w:r>
      <w:r w:rsidR="007E6779">
        <w:rPr>
          <w:bCs/>
          <w:color w:val="000000"/>
          <w:szCs w:val="24"/>
        </w:rPr>
        <w:t xml:space="preserve">!  </w:t>
      </w:r>
      <w:r w:rsidRPr="004C727E">
        <w:rPr>
          <w:color w:val="000000"/>
          <w:szCs w:val="24"/>
        </w:rPr>
        <w:t xml:space="preserve">   </w:t>
      </w:r>
    </w:p>
    <w:p w14:paraId="577B2FCE" w14:textId="77777777" w:rsidR="00527C43" w:rsidRPr="004C727E" w:rsidRDefault="00527C43" w:rsidP="00527C43">
      <w:pPr>
        <w:textAlignment w:val="baseline"/>
        <w:rPr>
          <w:b/>
          <w:bCs/>
          <w:color w:val="000000"/>
          <w:szCs w:val="24"/>
        </w:rPr>
      </w:pPr>
      <w:r w:rsidRPr="004C727E">
        <w:rPr>
          <w:color w:val="000000"/>
          <w:szCs w:val="24"/>
        </w:rPr>
        <w:t xml:space="preserve"> </w:t>
      </w:r>
    </w:p>
    <w:p w14:paraId="2BE5D7E4" w14:textId="77777777" w:rsidR="00527C43" w:rsidRDefault="00527C43" w:rsidP="00527C43">
      <w:pPr>
        <w:textAlignment w:val="baseline"/>
        <w:rPr>
          <w:color w:val="000000"/>
          <w:szCs w:val="24"/>
        </w:rPr>
      </w:pPr>
      <w:r w:rsidRPr="004C727E">
        <w:rPr>
          <w:color w:val="000000"/>
          <w:szCs w:val="24"/>
        </w:rPr>
        <w:t xml:space="preserve">In </w:t>
      </w:r>
      <w:r w:rsidRPr="004C727E">
        <w:rPr>
          <w:color w:val="000000"/>
          <w:szCs w:val="24"/>
          <w:u w:val="single"/>
        </w:rPr>
        <w:t>Xuan</w:t>
      </w:r>
      <w:r w:rsidRPr="004C727E">
        <w:rPr>
          <w:color w:val="000000"/>
          <w:szCs w:val="24"/>
        </w:rPr>
        <w:t xml:space="preserve">, the father sought post-termination/post-guardianship contact at trial but was denied, even though he had kept in touch with his son during the case, including during his incarceration. The father and the child appealed the denial of contact. While the panel affirmed the judge’s decision to terminate father’s parental rights, it vacated the order declining to provide for post-termination contact and remanded for further proceedings on the topic.  </w:t>
      </w:r>
    </w:p>
    <w:p w14:paraId="2B980871" w14:textId="77777777" w:rsidR="00527C43" w:rsidRPr="004C727E" w:rsidRDefault="00527C43" w:rsidP="00527C43">
      <w:pPr>
        <w:textAlignment w:val="baseline"/>
        <w:rPr>
          <w:color w:val="000000"/>
          <w:szCs w:val="24"/>
        </w:rPr>
      </w:pPr>
    </w:p>
    <w:p w14:paraId="02889CE3" w14:textId="77777777" w:rsidR="00527C43" w:rsidRDefault="00527C43" w:rsidP="00527C43">
      <w:pPr>
        <w:textAlignment w:val="baseline"/>
        <w:rPr>
          <w:color w:val="000000"/>
          <w:szCs w:val="24"/>
        </w:rPr>
      </w:pPr>
      <w:r w:rsidRPr="004C727E">
        <w:rPr>
          <w:color w:val="000000"/>
          <w:szCs w:val="24"/>
        </w:rPr>
        <w:t xml:space="preserve">The trial judge held that post-termination contact did not serve the child’s best interests.  But there was no evidence to support this determination.  Rather, the judge’s decision was solely “based on the Department's recommendation” that there be no contact.  However, the Department presented no evidence to support that recommendation, other than its (non-evidentiary) closing argument, in which Department counsel stated, “[t]he Department is looking for termination of parental rights of [the father]. . . . No post-termination/post-guardianship contact, judge. No phone calls.”  But closing argument isn’t evidence.  </w:t>
      </w:r>
    </w:p>
    <w:p w14:paraId="4DF76F08" w14:textId="77777777" w:rsidR="00527C43" w:rsidRPr="004C727E" w:rsidRDefault="00527C43" w:rsidP="00527C43">
      <w:pPr>
        <w:textAlignment w:val="baseline"/>
        <w:rPr>
          <w:color w:val="000000"/>
          <w:szCs w:val="24"/>
        </w:rPr>
      </w:pPr>
    </w:p>
    <w:p w14:paraId="286B5316" w14:textId="77777777" w:rsidR="00527C43" w:rsidRDefault="00527C43" w:rsidP="00527C43">
      <w:pPr>
        <w:textAlignment w:val="baseline"/>
        <w:rPr>
          <w:color w:val="000000"/>
          <w:szCs w:val="24"/>
        </w:rPr>
      </w:pPr>
      <w:r w:rsidRPr="004C727E">
        <w:rPr>
          <w:color w:val="000000"/>
          <w:szCs w:val="24"/>
        </w:rPr>
        <w:t xml:space="preserve">The judge found “no discernable bond” between the father and the child.  But the findings didn’t actually show no bond; rather, they were silent on the issue, and there was, in fact, evidence of a parental bond.  Father spoke to his son every Sunday while he was incarcerated.  </w:t>
      </w:r>
    </w:p>
    <w:p w14:paraId="385F40EB" w14:textId="77777777" w:rsidR="00527C43" w:rsidRPr="004C727E" w:rsidRDefault="00527C43" w:rsidP="00527C43">
      <w:pPr>
        <w:textAlignment w:val="baseline"/>
        <w:rPr>
          <w:color w:val="000000"/>
          <w:szCs w:val="24"/>
        </w:rPr>
      </w:pPr>
    </w:p>
    <w:p w14:paraId="394A4D9D" w14:textId="77777777" w:rsidR="00527C43" w:rsidRDefault="00527C43" w:rsidP="00527C43">
      <w:pPr>
        <w:textAlignment w:val="baseline"/>
        <w:rPr>
          <w:color w:val="000000"/>
          <w:szCs w:val="24"/>
        </w:rPr>
      </w:pPr>
      <w:r w:rsidRPr="004C727E">
        <w:rPr>
          <w:color w:val="000000"/>
          <w:szCs w:val="24"/>
        </w:rPr>
        <w:t>Best of all, the panel recognized that visits aren’t the only form of post-termination contact.  The panel was critical of the trial court for failing to “address any other form of contact between the father and the child, such as cards or letters to the child,” which the mother had obtained in an open/structured guardianship agreement.   The panel remanded for further proceedings on post-termination contact.</w:t>
      </w:r>
    </w:p>
    <w:p w14:paraId="72905C7E" w14:textId="77777777" w:rsidR="00527C43" w:rsidRPr="004C727E" w:rsidRDefault="00527C43" w:rsidP="00527C43">
      <w:pPr>
        <w:textAlignment w:val="baseline"/>
        <w:rPr>
          <w:color w:val="000000"/>
          <w:szCs w:val="24"/>
        </w:rPr>
      </w:pPr>
    </w:p>
    <w:p w14:paraId="27395386" w14:textId="787DB4C0" w:rsidR="00527C43" w:rsidRDefault="00527C43" w:rsidP="00527C43">
      <w:pPr>
        <w:textAlignment w:val="baseline"/>
        <w:rPr>
          <w:bCs/>
          <w:color w:val="000000"/>
          <w:szCs w:val="24"/>
        </w:rPr>
      </w:pPr>
      <w:r w:rsidRPr="004C727E">
        <w:rPr>
          <w:color w:val="000000"/>
          <w:szCs w:val="24"/>
          <w:u w:val="single"/>
        </w:rPr>
        <w:lastRenderedPageBreak/>
        <w:t>Note</w:t>
      </w:r>
      <w:r w:rsidRPr="004C727E">
        <w:rPr>
          <w:color w:val="000000"/>
          <w:szCs w:val="24"/>
        </w:rPr>
        <w:t xml:space="preserve">: </w:t>
      </w:r>
      <w:r w:rsidR="00F54010">
        <w:rPr>
          <w:color w:val="000000"/>
          <w:szCs w:val="24"/>
        </w:rPr>
        <w:t xml:space="preserve"> </w:t>
      </w:r>
      <w:r w:rsidRPr="004C727E">
        <w:rPr>
          <w:color w:val="000000"/>
          <w:szCs w:val="24"/>
        </w:rPr>
        <w:t xml:space="preserve">On remand, the judge issued additional findings that considered the visitation and contact that had occurred, again found that there was no evidence of any bond, and declined to order visitation or contact.  The panel affirmed that ruling in </w:t>
      </w:r>
      <w:r w:rsidRPr="004C727E">
        <w:rPr>
          <w:b/>
          <w:color w:val="000000"/>
          <w:szCs w:val="24"/>
          <w:u w:val="single"/>
        </w:rPr>
        <w:t>Adoption of Xuan</w:t>
      </w:r>
      <w:r w:rsidRPr="00193BEA">
        <w:rPr>
          <w:b/>
          <w:color w:val="000000"/>
          <w:szCs w:val="24"/>
          <w:u w:val="single"/>
        </w:rPr>
        <w:t xml:space="preserve"> [II]</w:t>
      </w:r>
      <w:r w:rsidRPr="004C727E">
        <w:rPr>
          <w:b/>
          <w:color w:val="000000"/>
          <w:szCs w:val="24"/>
        </w:rPr>
        <w:t>, 95 Mass. App. Ct. 1103 (2019)</w:t>
      </w:r>
      <w:r w:rsidRPr="004C727E">
        <w:rPr>
          <w:b/>
          <w:bCs/>
          <w:color w:val="000000"/>
          <w:szCs w:val="24"/>
        </w:rPr>
        <w:t xml:space="preserve"> (Mass. App. Ct. Rule 1:28)</w:t>
      </w:r>
      <w:r w:rsidR="001A1AA8">
        <w:rPr>
          <w:b/>
          <w:bCs/>
          <w:color w:val="000000"/>
          <w:szCs w:val="24"/>
        </w:rPr>
        <w:t xml:space="preserve"> (Meade, Agnes, Englander)</w:t>
      </w:r>
      <w:r w:rsidRPr="00193BEA">
        <w:rPr>
          <w:bCs/>
          <w:color w:val="000000"/>
          <w:szCs w:val="24"/>
        </w:rPr>
        <w:t>.</w:t>
      </w:r>
      <w:r>
        <w:rPr>
          <w:bCs/>
          <w:color w:val="000000"/>
          <w:szCs w:val="24"/>
        </w:rPr>
        <w:t xml:space="preserve">  Still, </w:t>
      </w:r>
      <w:r w:rsidRPr="008F07E3">
        <w:rPr>
          <w:bCs/>
          <w:color w:val="000000"/>
          <w:szCs w:val="24"/>
          <w:u w:val="single"/>
        </w:rPr>
        <w:t>Xuan</w:t>
      </w:r>
      <w:r>
        <w:rPr>
          <w:bCs/>
          <w:color w:val="000000"/>
          <w:szCs w:val="24"/>
        </w:rPr>
        <w:t xml:space="preserve"> is a great case to cite for your post-adoption contact argument.</w:t>
      </w:r>
    </w:p>
    <w:p w14:paraId="5D45F7FF" w14:textId="77777777" w:rsidR="00527C43" w:rsidRPr="004C727E" w:rsidRDefault="00527C43" w:rsidP="00527C43">
      <w:pPr>
        <w:textAlignment w:val="baseline"/>
        <w:rPr>
          <w:b/>
          <w:color w:val="000000"/>
          <w:szCs w:val="24"/>
        </w:rPr>
      </w:pPr>
    </w:p>
    <w:p w14:paraId="6047D3F1" w14:textId="15D01550" w:rsidR="00527C43" w:rsidRDefault="00527C43" w:rsidP="00527C43">
      <w:pPr>
        <w:rPr>
          <w:bCs/>
          <w:color w:val="000000"/>
          <w:szCs w:val="24"/>
        </w:rPr>
      </w:pPr>
      <w:r w:rsidRPr="00B001B4">
        <w:rPr>
          <w:b/>
          <w:szCs w:val="24"/>
        </w:rPr>
        <w:t>5.</w:t>
      </w:r>
      <w:r>
        <w:rPr>
          <w:szCs w:val="24"/>
        </w:rPr>
        <w:t xml:space="preserve"> </w:t>
      </w:r>
      <w:r w:rsidRPr="004C727E">
        <w:rPr>
          <w:szCs w:val="24"/>
        </w:rPr>
        <w:t xml:space="preserve">In </w:t>
      </w:r>
      <w:r w:rsidRPr="004C727E">
        <w:rPr>
          <w:b/>
          <w:szCs w:val="24"/>
          <w:u w:val="single"/>
        </w:rPr>
        <w:t>Adoption of Ariadne</w:t>
      </w:r>
      <w:r w:rsidRPr="004C727E">
        <w:rPr>
          <w:b/>
          <w:szCs w:val="24"/>
        </w:rPr>
        <w:t>, 95 Mass. App. Ct. 1117 (2019) (</w:t>
      </w:r>
      <w:r w:rsidRPr="004C727E">
        <w:rPr>
          <w:b/>
          <w:bCs/>
          <w:color w:val="000000"/>
          <w:szCs w:val="24"/>
        </w:rPr>
        <w:t>Mass. App. Ct. Rule 1:28)</w:t>
      </w:r>
      <w:r w:rsidR="001A1AA8">
        <w:rPr>
          <w:b/>
          <w:bCs/>
          <w:color w:val="000000"/>
          <w:szCs w:val="24"/>
        </w:rPr>
        <w:t xml:space="preserve"> (Meade, Massing, </w:t>
      </w:r>
      <w:proofErr w:type="spellStart"/>
      <w:r w:rsidR="001A1AA8">
        <w:rPr>
          <w:b/>
          <w:bCs/>
          <w:color w:val="000000"/>
          <w:szCs w:val="24"/>
        </w:rPr>
        <w:t>Lemire</w:t>
      </w:r>
      <w:proofErr w:type="spellEnd"/>
      <w:r w:rsidR="001A1AA8">
        <w:rPr>
          <w:b/>
          <w:bCs/>
          <w:color w:val="000000"/>
          <w:szCs w:val="24"/>
        </w:rPr>
        <w:t>)</w:t>
      </w:r>
      <w:r w:rsidRPr="004C727E">
        <w:rPr>
          <w:bCs/>
          <w:color w:val="000000"/>
          <w:szCs w:val="24"/>
        </w:rPr>
        <w:t xml:space="preserve">, the mother </w:t>
      </w:r>
      <w:r>
        <w:rPr>
          <w:bCs/>
          <w:color w:val="000000"/>
          <w:szCs w:val="24"/>
        </w:rPr>
        <w:t>did not appear at trial</w:t>
      </w:r>
      <w:r w:rsidRPr="004C727E">
        <w:rPr>
          <w:bCs/>
          <w:color w:val="000000"/>
          <w:szCs w:val="24"/>
        </w:rPr>
        <w:t xml:space="preserve"> but contacted her attorney ten days later to explain that she had relapsed and had been in a drug treatment facility.  The court drew a negative inference from her absence.  She asked </w:t>
      </w:r>
      <w:r>
        <w:rPr>
          <w:bCs/>
          <w:color w:val="000000"/>
          <w:szCs w:val="24"/>
        </w:rPr>
        <w:t>her</w:t>
      </w:r>
      <w:r w:rsidRPr="004C727E">
        <w:rPr>
          <w:bCs/>
          <w:color w:val="000000"/>
          <w:szCs w:val="24"/>
        </w:rPr>
        <w:t xml:space="preserve"> attorney to file a motion to reopen the evidence so </w:t>
      </w:r>
      <w:r>
        <w:rPr>
          <w:bCs/>
          <w:color w:val="000000"/>
          <w:szCs w:val="24"/>
        </w:rPr>
        <w:t xml:space="preserve">that </w:t>
      </w:r>
      <w:r w:rsidRPr="004C727E">
        <w:rPr>
          <w:bCs/>
          <w:color w:val="000000"/>
          <w:szCs w:val="24"/>
        </w:rPr>
        <w:t>she could testify and explain her absence to the judge.  The attorney “resisted,” explaining that</w:t>
      </w:r>
      <w:r>
        <w:rPr>
          <w:bCs/>
          <w:color w:val="000000"/>
          <w:szCs w:val="24"/>
        </w:rPr>
        <w:t>,</w:t>
      </w:r>
      <w:r w:rsidRPr="004C727E">
        <w:rPr>
          <w:bCs/>
          <w:color w:val="000000"/>
          <w:szCs w:val="24"/>
        </w:rPr>
        <w:t xml:space="preserve"> in his judgment</w:t>
      </w:r>
      <w:r>
        <w:rPr>
          <w:bCs/>
          <w:color w:val="000000"/>
          <w:szCs w:val="24"/>
        </w:rPr>
        <w:t>,</w:t>
      </w:r>
      <w:r w:rsidRPr="004C727E">
        <w:rPr>
          <w:bCs/>
          <w:color w:val="000000"/>
          <w:szCs w:val="24"/>
        </w:rPr>
        <w:t xml:space="preserve"> it would not be in her best interest to reopen the evidence to admit she had relapsed</w:t>
      </w:r>
      <w:r>
        <w:rPr>
          <w:bCs/>
          <w:color w:val="000000"/>
          <w:szCs w:val="24"/>
        </w:rPr>
        <w:t xml:space="preserve">.  </w:t>
      </w:r>
      <w:r w:rsidRPr="004C727E">
        <w:rPr>
          <w:bCs/>
          <w:color w:val="000000"/>
          <w:szCs w:val="24"/>
        </w:rPr>
        <w:t>He ultimately agreed to try to reopen the evidence for the limited purpose of offering a letter from the mother’s treatment program.  The attorney prepared a draft motion but would not proceed unless the mother signed a version specifying that the motion was</w:t>
      </w:r>
      <w:r>
        <w:rPr>
          <w:bCs/>
          <w:color w:val="000000"/>
          <w:szCs w:val="24"/>
        </w:rPr>
        <w:t xml:space="preserve"> filed “</w:t>
      </w:r>
      <w:r w:rsidRPr="004C727E">
        <w:rPr>
          <w:bCs/>
          <w:color w:val="000000"/>
          <w:szCs w:val="24"/>
        </w:rPr>
        <w:t>against the advice of undersigned counsel.</w:t>
      </w:r>
      <w:r>
        <w:rPr>
          <w:bCs/>
          <w:color w:val="000000"/>
          <w:szCs w:val="24"/>
        </w:rPr>
        <w:t>”</w:t>
      </w:r>
    </w:p>
    <w:p w14:paraId="3E9AAA61" w14:textId="77777777" w:rsidR="00527C43" w:rsidRDefault="00527C43" w:rsidP="00527C43">
      <w:pPr>
        <w:rPr>
          <w:bCs/>
          <w:color w:val="000000"/>
          <w:szCs w:val="24"/>
        </w:rPr>
      </w:pPr>
    </w:p>
    <w:p w14:paraId="4E871F4F" w14:textId="77777777" w:rsidR="00527C43" w:rsidRDefault="00527C43" w:rsidP="00527C43">
      <w:pPr>
        <w:rPr>
          <w:bCs/>
          <w:color w:val="000000"/>
          <w:szCs w:val="24"/>
        </w:rPr>
      </w:pPr>
      <w:r>
        <w:rPr>
          <w:bCs/>
          <w:color w:val="000000"/>
          <w:szCs w:val="24"/>
        </w:rPr>
        <w:t>Later, a</w:t>
      </w:r>
      <w:r w:rsidRPr="004C727E">
        <w:rPr>
          <w:bCs/>
          <w:color w:val="000000"/>
          <w:szCs w:val="24"/>
        </w:rPr>
        <w:t xml:space="preserve">ppellate counsel </w:t>
      </w:r>
      <w:r>
        <w:rPr>
          <w:bCs/>
          <w:color w:val="000000"/>
          <w:szCs w:val="24"/>
        </w:rPr>
        <w:t xml:space="preserve">moved </w:t>
      </w:r>
      <w:r w:rsidRPr="004C727E">
        <w:rPr>
          <w:bCs/>
          <w:color w:val="000000"/>
          <w:szCs w:val="24"/>
        </w:rPr>
        <w:t>to stay the appeal</w:t>
      </w:r>
      <w:r>
        <w:rPr>
          <w:bCs/>
          <w:color w:val="000000"/>
          <w:szCs w:val="24"/>
        </w:rPr>
        <w:t xml:space="preserve"> to allow mother to move for a new trial based on ineffective assistance of counsel (IAC).  The </w:t>
      </w:r>
      <w:r w:rsidRPr="004C727E">
        <w:rPr>
          <w:bCs/>
          <w:color w:val="000000"/>
          <w:szCs w:val="24"/>
        </w:rPr>
        <w:t>single justice denied</w:t>
      </w:r>
      <w:r>
        <w:rPr>
          <w:bCs/>
          <w:color w:val="000000"/>
          <w:szCs w:val="24"/>
        </w:rPr>
        <w:t xml:space="preserve"> the motion, ruling that the mother was unlikely to succeed on the IAC claim.  Mother appealed, and that appeal</w:t>
      </w:r>
      <w:r w:rsidRPr="004C727E">
        <w:rPr>
          <w:bCs/>
          <w:color w:val="000000"/>
          <w:szCs w:val="24"/>
        </w:rPr>
        <w:t xml:space="preserve"> was consolidated with the mother’s direct appeal.</w:t>
      </w:r>
    </w:p>
    <w:p w14:paraId="30C8EBE6" w14:textId="77777777" w:rsidR="00527C43" w:rsidRPr="004C727E" w:rsidRDefault="00527C43" w:rsidP="00527C43">
      <w:pPr>
        <w:rPr>
          <w:bCs/>
          <w:color w:val="000000"/>
          <w:szCs w:val="24"/>
        </w:rPr>
      </w:pPr>
    </w:p>
    <w:p w14:paraId="270E93FF" w14:textId="1931C83C" w:rsidR="00527C43" w:rsidRDefault="00527C43" w:rsidP="00527C43">
      <w:pPr>
        <w:rPr>
          <w:bCs/>
          <w:color w:val="000000"/>
          <w:szCs w:val="24"/>
        </w:rPr>
      </w:pPr>
      <w:r w:rsidRPr="004C727E">
        <w:rPr>
          <w:bCs/>
          <w:color w:val="000000"/>
          <w:szCs w:val="24"/>
        </w:rPr>
        <w:t xml:space="preserve">The panel held that the single justice did not abuse her discretion when she determined that mother was unlikely to succeed in her </w:t>
      </w:r>
      <w:r>
        <w:rPr>
          <w:bCs/>
          <w:color w:val="000000"/>
          <w:szCs w:val="24"/>
        </w:rPr>
        <w:t xml:space="preserve">IAC </w:t>
      </w:r>
      <w:r w:rsidRPr="004C727E">
        <w:rPr>
          <w:bCs/>
          <w:color w:val="000000"/>
          <w:szCs w:val="24"/>
        </w:rPr>
        <w:t xml:space="preserve">claim.  </w:t>
      </w:r>
      <w:r>
        <w:rPr>
          <w:bCs/>
          <w:color w:val="000000"/>
          <w:szCs w:val="24"/>
        </w:rPr>
        <w:t xml:space="preserve">That may well be true – perhaps the mother could not satisfy the second prong of the IAC test by showing that the result would have been any different had counsel done what she’d asked.  But the panel chose to address the first prong, as well, and here is where it gets strange.  The panel held that </w:t>
      </w:r>
      <w:r w:rsidRPr="004C727E">
        <w:rPr>
          <w:bCs/>
          <w:color w:val="000000"/>
          <w:szCs w:val="24"/>
        </w:rPr>
        <w:t xml:space="preserve">it was “not manifestly unreasonable for counsel to resist reopening the evidence to allow the mother to present further proof that her substance abuse was ongoing and interfered with her ability to attend to Ariadne’s needs.”  </w:t>
      </w:r>
      <w:r>
        <w:rPr>
          <w:bCs/>
          <w:color w:val="000000"/>
          <w:szCs w:val="24"/>
        </w:rPr>
        <w:t xml:space="preserve">Now </w:t>
      </w:r>
      <w:r w:rsidRPr="00461741">
        <w:rPr>
          <w:bCs/>
          <w:i/>
          <w:color w:val="000000"/>
          <w:szCs w:val="24"/>
        </w:rPr>
        <w:t>that</w:t>
      </w:r>
      <w:r>
        <w:rPr>
          <w:bCs/>
          <w:color w:val="000000"/>
          <w:szCs w:val="24"/>
        </w:rPr>
        <w:t xml:space="preserve"> is bizarre</w:t>
      </w:r>
      <w:r w:rsidR="00B80DFE">
        <w:rPr>
          <w:bCs/>
          <w:color w:val="000000"/>
          <w:szCs w:val="24"/>
        </w:rPr>
        <w:t xml:space="preserve">ly unfair, because the mother clearly didn’t intend to offer additional proof of her problems; she intended to offer evidence as to why she wasn’t at </w:t>
      </w:r>
      <w:r w:rsidR="007E6779">
        <w:rPr>
          <w:bCs/>
          <w:color w:val="000000"/>
          <w:szCs w:val="24"/>
        </w:rPr>
        <w:t>trial</w:t>
      </w:r>
      <w:r w:rsidR="00B80DFE">
        <w:rPr>
          <w:bCs/>
          <w:color w:val="000000"/>
          <w:szCs w:val="24"/>
        </w:rPr>
        <w:t xml:space="preserve">, so that the court could reconsider its adverse inference.  </w:t>
      </w:r>
      <w:r>
        <w:rPr>
          <w:bCs/>
          <w:color w:val="000000"/>
          <w:szCs w:val="24"/>
        </w:rPr>
        <w:t xml:space="preserve">What conceivable strategy by counsel was served by not letting the mother </w:t>
      </w:r>
      <w:r w:rsidR="007E6779">
        <w:rPr>
          <w:bCs/>
          <w:color w:val="000000"/>
          <w:szCs w:val="24"/>
        </w:rPr>
        <w:t>explain her absence</w:t>
      </w:r>
      <w:r>
        <w:rPr>
          <w:bCs/>
          <w:color w:val="000000"/>
          <w:szCs w:val="24"/>
        </w:rPr>
        <w:t xml:space="preserve">?  </w:t>
      </w:r>
      <w:r w:rsidR="009556D6">
        <w:rPr>
          <w:bCs/>
          <w:color w:val="000000"/>
          <w:szCs w:val="24"/>
        </w:rPr>
        <w:t>Further, w</w:t>
      </w:r>
      <w:r>
        <w:rPr>
          <w:bCs/>
          <w:color w:val="000000"/>
          <w:szCs w:val="24"/>
        </w:rPr>
        <w:t xml:space="preserve">hat evidence could the mother have introduced at a reopened hearing that could have </w:t>
      </w:r>
      <w:r w:rsidRPr="00461741">
        <w:rPr>
          <w:bCs/>
          <w:i/>
          <w:color w:val="000000"/>
          <w:szCs w:val="24"/>
        </w:rPr>
        <w:t>hurt</w:t>
      </w:r>
      <w:r>
        <w:rPr>
          <w:bCs/>
          <w:color w:val="000000"/>
          <w:szCs w:val="24"/>
        </w:rPr>
        <w:t xml:space="preserve"> her case?  After all, she </w:t>
      </w:r>
      <w:r w:rsidR="009556D6">
        <w:rPr>
          <w:bCs/>
          <w:color w:val="000000"/>
          <w:szCs w:val="24"/>
        </w:rPr>
        <w:t xml:space="preserve">had </w:t>
      </w:r>
      <w:r>
        <w:rPr>
          <w:bCs/>
          <w:color w:val="000000"/>
          <w:szCs w:val="24"/>
        </w:rPr>
        <w:t>lost her parental rights; letting her tell her story couldn’t have prejudiced her case, and it might have helped in some way, if only by letting her know that she had had a chance to be heard.</w:t>
      </w:r>
      <w:r w:rsidR="009556D6">
        <w:rPr>
          <w:bCs/>
          <w:color w:val="000000"/>
          <w:szCs w:val="24"/>
        </w:rPr>
        <w:t xml:space="preserve">  (It does not appear that the judge had ordered post-adoption contact which </w:t>
      </w:r>
      <w:r w:rsidR="007E6779">
        <w:rPr>
          <w:bCs/>
          <w:color w:val="000000"/>
          <w:szCs w:val="24"/>
        </w:rPr>
        <w:t>the mother</w:t>
      </w:r>
      <w:bookmarkStart w:id="0" w:name="_GoBack"/>
      <w:bookmarkEnd w:id="0"/>
      <w:r w:rsidR="009556D6">
        <w:rPr>
          <w:bCs/>
          <w:color w:val="000000"/>
          <w:szCs w:val="24"/>
        </w:rPr>
        <w:t xml:space="preserve"> might have lost had the evidence been reopened.  </w:t>
      </w:r>
      <w:r w:rsidR="009556D6" w:rsidRPr="009556D6">
        <w:rPr>
          <w:bCs/>
          <w:i/>
          <w:color w:val="000000"/>
          <w:szCs w:val="24"/>
        </w:rPr>
        <w:t>That</w:t>
      </w:r>
      <w:r w:rsidR="009556D6">
        <w:rPr>
          <w:bCs/>
          <w:color w:val="000000"/>
          <w:szCs w:val="24"/>
        </w:rPr>
        <w:t xml:space="preserve"> might </w:t>
      </w:r>
      <w:r w:rsidR="00E50291">
        <w:rPr>
          <w:bCs/>
          <w:color w:val="000000"/>
          <w:szCs w:val="24"/>
        </w:rPr>
        <w:t xml:space="preserve">have </w:t>
      </w:r>
      <w:r w:rsidR="009556D6">
        <w:rPr>
          <w:bCs/>
          <w:color w:val="000000"/>
          <w:szCs w:val="24"/>
        </w:rPr>
        <w:t>represent</w:t>
      </w:r>
      <w:r w:rsidR="00E50291">
        <w:rPr>
          <w:bCs/>
          <w:color w:val="000000"/>
          <w:szCs w:val="24"/>
        </w:rPr>
        <w:t>ed</w:t>
      </w:r>
      <w:r w:rsidR="009556D6">
        <w:rPr>
          <w:bCs/>
          <w:color w:val="000000"/>
          <w:szCs w:val="24"/>
        </w:rPr>
        <w:t xml:space="preserve"> a viable strategic decision.)</w:t>
      </w:r>
    </w:p>
    <w:p w14:paraId="75507560" w14:textId="77777777" w:rsidR="00527C43" w:rsidRDefault="00527C43" w:rsidP="00527C43">
      <w:pPr>
        <w:rPr>
          <w:bCs/>
          <w:color w:val="000000"/>
          <w:szCs w:val="24"/>
        </w:rPr>
      </w:pPr>
    </w:p>
    <w:p w14:paraId="2AB3D89D" w14:textId="331C6B40" w:rsidR="00527C43" w:rsidRPr="00527C43" w:rsidRDefault="00527C43" w:rsidP="00527C43">
      <w:pPr>
        <w:rPr>
          <w:bCs/>
          <w:color w:val="000000"/>
          <w:szCs w:val="24"/>
        </w:rPr>
      </w:pPr>
      <w:r w:rsidRPr="008A4516">
        <w:rPr>
          <w:b/>
          <w:bCs/>
          <w:color w:val="000000"/>
          <w:szCs w:val="24"/>
        </w:rPr>
        <w:t>For trial counsel</w:t>
      </w:r>
      <w:r w:rsidR="008C3F71">
        <w:rPr>
          <w:b/>
          <w:bCs/>
          <w:color w:val="000000"/>
          <w:szCs w:val="24"/>
        </w:rPr>
        <w:t xml:space="preserve">:  </w:t>
      </w:r>
      <w:r w:rsidR="008C3F71" w:rsidRPr="00B001B4">
        <w:rPr>
          <w:bCs/>
          <w:color w:val="000000"/>
          <w:szCs w:val="24"/>
        </w:rPr>
        <w:t>I</w:t>
      </w:r>
      <w:r w:rsidRPr="008C3F71">
        <w:rPr>
          <w:bCs/>
          <w:color w:val="000000"/>
          <w:szCs w:val="24"/>
        </w:rPr>
        <w:t>f</w:t>
      </w:r>
      <w:r w:rsidRPr="00527C43">
        <w:rPr>
          <w:bCs/>
          <w:color w:val="000000"/>
          <w:szCs w:val="24"/>
        </w:rPr>
        <w:t xml:space="preserve"> a parent fails to show for trial and the judge terminates parental rights, don’t push the parent away if she later shows up and asks to reopen the evidence.  Call CAFL administration, and we can discuss your options.</w:t>
      </w:r>
    </w:p>
    <w:p w14:paraId="5089D8E0" w14:textId="77777777" w:rsidR="00527C43" w:rsidRPr="008F07E3" w:rsidRDefault="00527C43" w:rsidP="00527C43">
      <w:pPr>
        <w:rPr>
          <w:b/>
          <w:bCs/>
          <w:color w:val="000000"/>
          <w:szCs w:val="24"/>
        </w:rPr>
      </w:pPr>
    </w:p>
    <w:p w14:paraId="5351DB0C" w14:textId="0D47BEF3" w:rsidR="00527C43" w:rsidRPr="004C727E" w:rsidRDefault="00527C43" w:rsidP="00527C43">
      <w:pPr>
        <w:rPr>
          <w:szCs w:val="24"/>
        </w:rPr>
      </w:pPr>
      <w:r w:rsidRPr="00B001B4">
        <w:rPr>
          <w:b/>
          <w:szCs w:val="24"/>
        </w:rPr>
        <w:t>6.</w:t>
      </w:r>
      <w:r w:rsidRPr="00527C43">
        <w:rPr>
          <w:szCs w:val="24"/>
        </w:rPr>
        <w:t xml:space="preserve"> </w:t>
      </w:r>
      <w:r w:rsidRPr="004C727E">
        <w:rPr>
          <w:b/>
          <w:szCs w:val="24"/>
          <w:u w:val="single"/>
        </w:rPr>
        <w:t>Adoption of Beatrice</w:t>
      </w:r>
      <w:r w:rsidRPr="004C727E">
        <w:rPr>
          <w:b/>
          <w:szCs w:val="24"/>
        </w:rPr>
        <w:t>, 95 Mass. App. Ct. 1118 (2019)</w:t>
      </w:r>
      <w:r>
        <w:rPr>
          <w:b/>
          <w:szCs w:val="24"/>
        </w:rPr>
        <w:t xml:space="preserve"> </w:t>
      </w:r>
      <w:r w:rsidRPr="004C727E">
        <w:rPr>
          <w:b/>
          <w:szCs w:val="24"/>
        </w:rPr>
        <w:t>(Mass. App. Ct. Rule 1:28)</w:t>
      </w:r>
      <w:r w:rsidR="001A1AA8">
        <w:rPr>
          <w:b/>
          <w:szCs w:val="24"/>
        </w:rPr>
        <w:t xml:space="preserve"> (Rubin, Desmond, </w:t>
      </w:r>
      <w:proofErr w:type="spellStart"/>
      <w:r w:rsidR="001A1AA8">
        <w:rPr>
          <w:b/>
          <w:szCs w:val="24"/>
        </w:rPr>
        <w:t>Ditkoff</w:t>
      </w:r>
      <w:proofErr w:type="spellEnd"/>
      <w:r w:rsidR="001A1AA8">
        <w:rPr>
          <w:b/>
          <w:szCs w:val="24"/>
        </w:rPr>
        <w:t>)</w:t>
      </w:r>
      <w:r w:rsidRPr="004C727E">
        <w:rPr>
          <w:szCs w:val="24"/>
        </w:rPr>
        <w:t xml:space="preserve">, is notable for the following footnote: </w:t>
      </w:r>
    </w:p>
    <w:p w14:paraId="064D34C1" w14:textId="77777777" w:rsidR="00527C43" w:rsidRPr="004C727E" w:rsidRDefault="00527C43" w:rsidP="00527C43">
      <w:pPr>
        <w:spacing w:before="240"/>
        <w:ind w:left="720" w:right="720"/>
        <w:rPr>
          <w:color w:val="212121"/>
          <w:szCs w:val="24"/>
        </w:rPr>
      </w:pPr>
      <w:r w:rsidRPr="004C727E">
        <w:rPr>
          <w:color w:val="212121"/>
          <w:szCs w:val="24"/>
        </w:rPr>
        <w:t xml:space="preserve">At the outset of trial, the judge commented that “this is scheduled for a five-day </w:t>
      </w:r>
      <w:r w:rsidRPr="004C727E">
        <w:rPr>
          <w:color w:val="212121"/>
          <w:szCs w:val="24"/>
        </w:rPr>
        <w:lastRenderedPageBreak/>
        <w:t xml:space="preserve">trial. </w:t>
      </w:r>
      <w:r>
        <w:rPr>
          <w:color w:val="212121"/>
          <w:szCs w:val="24"/>
        </w:rPr>
        <w:t xml:space="preserve"> </w:t>
      </w:r>
      <w:r w:rsidRPr="004C727E">
        <w:rPr>
          <w:color w:val="212121"/>
          <w:szCs w:val="24"/>
        </w:rPr>
        <w:t>I do want to tell you that, if we</w:t>
      </w:r>
      <w:r>
        <w:rPr>
          <w:color w:val="212121"/>
          <w:szCs w:val="24"/>
        </w:rPr>
        <w:t>’</w:t>
      </w:r>
      <w:r w:rsidRPr="004C727E">
        <w:rPr>
          <w:color w:val="212121"/>
          <w:szCs w:val="24"/>
        </w:rPr>
        <w:t>re not finished on Friday, that I will call a mistrial.</w:t>
      </w:r>
      <w:r>
        <w:rPr>
          <w:color w:val="212121"/>
          <w:szCs w:val="24"/>
        </w:rPr>
        <w:t xml:space="preserve"> </w:t>
      </w:r>
      <w:r w:rsidRPr="004C727E">
        <w:rPr>
          <w:color w:val="212121"/>
          <w:szCs w:val="24"/>
        </w:rPr>
        <w:t xml:space="preserve"> I don</w:t>
      </w:r>
      <w:r>
        <w:rPr>
          <w:color w:val="212121"/>
          <w:szCs w:val="24"/>
        </w:rPr>
        <w:t>’</w:t>
      </w:r>
      <w:r w:rsidRPr="004C727E">
        <w:rPr>
          <w:color w:val="212121"/>
          <w:szCs w:val="24"/>
        </w:rPr>
        <w:t>t have any more time to give to the case than what I</w:t>
      </w:r>
      <w:r>
        <w:rPr>
          <w:color w:val="212121"/>
          <w:szCs w:val="24"/>
        </w:rPr>
        <w:t>’</w:t>
      </w:r>
      <w:r w:rsidRPr="004C727E">
        <w:rPr>
          <w:color w:val="212121"/>
          <w:szCs w:val="24"/>
        </w:rPr>
        <w:t>ve got right now and you</w:t>
      </w:r>
      <w:r>
        <w:rPr>
          <w:color w:val="212121"/>
          <w:szCs w:val="24"/>
        </w:rPr>
        <w:t>’</w:t>
      </w:r>
      <w:r w:rsidRPr="004C727E">
        <w:rPr>
          <w:color w:val="212121"/>
          <w:szCs w:val="24"/>
        </w:rPr>
        <w:t xml:space="preserve">ll have to start over again. </w:t>
      </w:r>
      <w:r>
        <w:rPr>
          <w:color w:val="212121"/>
          <w:szCs w:val="24"/>
        </w:rPr>
        <w:t xml:space="preserve"> </w:t>
      </w:r>
      <w:r w:rsidRPr="004C727E">
        <w:rPr>
          <w:color w:val="212121"/>
          <w:szCs w:val="24"/>
        </w:rPr>
        <w:t xml:space="preserve">So just keep that in mind.” </w:t>
      </w:r>
      <w:r>
        <w:rPr>
          <w:color w:val="212121"/>
          <w:szCs w:val="24"/>
        </w:rPr>
        <w:t xml:space="preserve"> </w:t>
      </w:r>
      <w:r w:rsidRPr="004C727E">
        <w:rPr>
          <w:color w:val="212121"/>
          <w:szCs w:val="24"/>
        </w:rPr>
        <w:t xml:space="preserve">Although we understand the importance of case management in the trial court, these comments by the judge were insensitive at best. </w:t>
      </w:r>
      <w:r>
        <w:rPr>
          <w:color w:val="212121"/>
          <w:szCs w:val="24"/>
        </w:rPr>
        <w:t xml:space="preserve"> </w:t>
      </w:r>
      <w:r w:rsidRPr="004C727E">
        <w:rPr>
          <w:color w:val="212121"/>
          <w:szCs w:val="24"/>
        </w:rPr>
        <w:t>In the future, it would be better to instruct counsel more tactfully as to the anticipated trial schedule, especially in light of the important rights of the parties at stake in these types of cases.</w:t>
      </w:r>
    </w:p>
    <w:p w14:paraId="5AED77F9" w14:textId="2A07A544" w:rsidR="00527C43" w:rsidRDefault="00527C43" w:rsidP="00527C43">
      <w:pPr>
        <w:spacing w:before="240"/>
        <w:rPr>
          <w:szCs w:val="24"/>
        </w:rPr>
      </w:pPr>
      <w:r w:rsidRPr="00461741">
        <w:rPr>
          <w:szCs w:val="24"/>
          <w:u w:val="single"/>
        </w:rPr>
        <w:t>Beatrice</w:t>
      </w:r>
      <w:r>
        <w:rPr>
          <w:szCs w:val="24"/>
        </w:rPr>
        <w:t>, at n. 11.  The judge’s</w:t>
      </w:r>
      <w:r w:rsidRPr="004C727E">
        <w:rPr>
          <w:szCs w:val="24"/>
        </w:rPr>
        <w:t xml:space="preserve"> comments </w:t>
      </w:r>
      <w:r w:rsidR="00FD090A">
        <w:rPr>
          <w:szCs w:val="24"/>
        </w:rPr>
        <w:t>here didn’t ultimately matter to the Appeals Court; it still affirmed</w:t>
      </w:r>
      <w:r w:rsidRPr="004C727E">
        <w:rPr>
          <w:szCs w:val="24"/>
        </w:rPr>
        <w:t xml:space="preserve">.  </w:t>
      </w:r>
      <w:r>
        <w:rPr>
          <w:szCs w:val="24"/>
        </w:rPr>
        <w:t xml:space="preserve">Still, what can you do when a judge says something like this and you really think that you need more time than the judge is allotting?  A recent case – </w:t>
      </w:r>
      <w:r w:rsidRPr="008F07E3">
        <w:rPr>
          <w:b/>
          <w:szCs w:val="24"/>
          <w:u w:val="single"/>
        </w:rPr>
        <w:t xml:space="preserve">Adoption of </w:t>
      </w:r>
      <w:proofErr w:type="spellStart"/>
      <w:r w:rsidRPr="008F07E3">
        <w:rPr>
          <w:b/>
          <w:szCs w:val="24"/>
          <w:u w:val="single"/>
        </w:rPr>
        <w:t>Yolane</w:t>
      </w:r>
      <w:proofErr w:type="spellEnd"/>
      <w:r w:rsidRPr="008F07E3">
        <w:rPr>
          <w:b/>
          <w:szCs w:val="24"/>
        </w:rPr>
        <w:t>, 92 Mass. App. Ct. 1116 (2017) (Mass. App. Ct. Rule 1:28)</w:t>
      </w:r>
      <w:r>
        <w:rPr>
          <w:szCs w:val="24"/>
        </w:rPr>
        <w:t xml:space="preserve"> – gives some guidance</w:t>
      </w:r>
      <w:r w:rsidR="00FD090A">
        <w:rPr>
          <w:szCs w:val="24"/>
        </w:rPr>
        <w:t>.  A</w:t>
      </w:r>
      <w:r w:rsidRPr="004C727E">
        <w:rPr>
          <w:szCs w:val="24"/>
        </w:rPr>
        <w:t xml:space="preserve">sk the trial judge to ask the Chief Justice </w:t>
      </w:r>
      <w:r w:rsidR="00FD090A">
        <w:rPr>
          <w:szCs w:val="24"/>
        </w:rPr>
        <w:t xml:space="preserve">of that court </w:t>
      </w:r>
      <w:r w:rsidRPr="004C727E">
        <w:rPr>
          <w:szCs w:val="24"/>
        </w:rPr>
        <w:t>to (a) give your judge a “block of time” and (b) assign “day-to-day activities of the court” to another judge.  Or ask the judge to ask the Chief to assign another judge specifically for your trial.</w:t>
      </w:r>
      <w:r>
        <w:rPr>
          <w:szCs w:val="24"/>
        </w:rPr>
        <w:t xml:space="preserve">  It’s worth a try.</w:t>
      </w:r>
    </w:p>
    <w:p w14:paraId="63207D92" w14:textId="77777777" w:rsidR="00527C43" w:rsidRPr="004C727E" w:rsidRDefault="00527C43" w:rsidP="00527C43">
      <w:pPr>
        <w:rPr>
          <w:szCs w:val="24"/>
        </w:rPr>
      </w:pPr>
    </w:p>
    <w:p w14:paraId="707E3C61" w14:textId="782FBF69" w:rsidR="00527C43" w:rsidRDefault="00527C43" w:rsidP="00527C43">
      <w:pPr>
        <w:rPr>
          <w:szCs w:val="24"/>
        </w:rPr>
      </w:pPr>
      <w:r w:rsidRPr="00B001B4">
        <w:rPr>
          <w:b/>
          <w:szCs w:val="24"/>
        </w:rPr>
        <w:t>7.</w:t>
      </w:r>
      <w:r w:rsidRPr="00527C43">
        <w:rPr>
          <w:szCs w:val="24"/>
        </w:rPr>
        <w:t xml:space="preserve"> </w:t>
      </w:r>
      <w:r>
        <w:rPr>
          <w:b/>
          <w:szCs w:val="24"/>
          <w:u w:val="single"/>
        </w:rPr>
        <w:t>M.S-H. v. A.L.</w:t>
      </w:r>
      <w:r w:rsidRPr="0033080B">
        <w:rPr>
          <w:b/>
          <w:szCs w:val="24"/>
        </w:rPr>
        <w:t>, 95 Mass. App. Ct</w:t>
      </w:r>
      <w:r>
        <w:rPr>
          <w:b/>
          <w:szCs w:val="24"/>
        </w:rPr>
        <w:t>.</w:t>
      </w:r>
      <w:r w:rsidRPr="0033080B">
        <w:rPr>
          <w:b/>
          <w:szCs w:val="24"/>
        </w:rPr>
        <w:t xml:space="preserve"> 1123 (2019) (Mass. App. Ct. Rule 1:28</w:t>
      </w:r>
      <w:r w:rsidRPr="00B001B4">
        <w:rPr>
          <w:b/>
          <w:szCs w:val="24"/>
        </w:rPr>
        <w:t>)</w:t>
      </w:r>
      <w:r w:rsidR="001A1AA8">
        <w:rPr>
          <w:b/>
          <w:szCs w:val="24"/>
        </w:rPr>
        <w:t xml:space="preserve"> (Henry, Sacks, </w:t>
      </w:r>
      <w:proofErr w:type="spellStart"/>
      <w:r w:rsidR="001A1AA8">
        <w:rPr>
          <w:b/>
          <w:szCs w:val="24"/>
        </w:rPr>
        <w:t>Ditkoff</w:t>
      </w:r>
      <w:proofErr w:type="spellEnd"/>
      <w:r w:rsidR="001A1AA8">
        <w:rPr>
          <w:b/>
          <w:szCs w:val="24"/>
        </w:rPr>
        <w:t>)</w:t>
      </w:r>
      <w:r>
        <w:rPr>
          <w:szCs w:val="24"/>
        </w:rPr>
        <w:t>.  In this case,</w:t>
      </w:r>
      <w:r w:rsidRPr="004C727E">
        <w:rPr>
          <w:szCs w:val="24"/>
        </w:rPr>
        <w:t xml:space="preserve"> the mother sought to vacate an open adoption agreement in </w:t>
      </w:r>
      <w:r>
        <w:rPr>
          <w:szCs w:val="24"/>
        </w:rPr>
        <w:t xml:space="preserve">the </w:t>
      </w:r>
      <w:r w:rsidRPr="004C727E">
        <w:rPr>
          <w:szCs w:val="24"/>
        </w:rPr>
        <w:t xml:space="preserve">Probate and Family Court.  </w:t>
      </w:r>
      <w:r>
        <w:rPr>
          <w:szCs w:val="24"/>
        </w:rPr>
        <w:t>During a colloquy, the judge</w:t>
      </w:r>
    </w:p>
    <w:p w14:paraId="35DF361F" w14:textId="77777777" w:rsidR="00527C43" w:rsidRDefault="00527C43" w:rsidP="00527C43">
      <w:pPr>
        <w:rPr>
          <w:szCs w:val="24"/>
        </w:rPr>
      </w:pPr>
    </w:p>
    <w:p w14:paraId="4F2C17DB" w14:textId="77777777" w:rsidR="00527C43" w:rsidRDefault="00527C43" w:rsidP="00527C43">
      <w:pPr>
        <w:ind w:left="720" w:right="720"/>
        <w:rPr>
          <w:szCs w:val="24"/>
        </w:rPr>
      </w:pPr>
      <w:r w:rsidRPr="0033080B">
        <w:rPr>
          <w:color w:val="212121"/>
          <w:szCs w:val="24"/>
        </w:rPr>
        <w:t>determined that the mother</w:t>
      </w:r>
      <w:r>
        <w:rPr>
          <w:color w:val="212121"/>
          <w:szCs w:val="24"/>
        </w:rPr>
        <w:t>’</w:t>
      </w:r>
      <w:r w:rsidRPr="0033080B">
        <w:rPr>
          <w:color w:val="212121"/>
          <w:szCs w:val="24"/>
        </w:rPr>
        <w:t xml:space="preserve">s consent to the agreement was knowing and voluntary. </w:t>
      </w:r>
      <w:r w:rsidRPr="0033080B">
        <w:rPr>
          <w:color w:val="212121"/>
          <w:szCs w:val="24"/>
          <w:u w:val="single"/>
        </w:rPr>
        <w:t>See</w:t>
      </w:r>
      <w:r>
        <w:rPr>
          <w:color w:val="212121"/>
          <w:szCs w:val="24"/>
        </w:rPr>
        <w:t xml:space="preserve"> </w:t>
      </w:r>
      <w:r w:rsidRPr="0033080B">
        <w:rPr>
          <w:color w:val="212121"/>
          <w:szCs w:val="24"/>
          <w:u w:val="single"/>
        </w:rPr>
        <w:t>Adoption of John</w:t>
      </w:r>
      <w:r>
        <w:rPr>
          <w:color w:val="212121"/>
          <w:szCs w:val="24"/>
        </w:rPr>
        <w:t>, [53 Mass. App. Ct. 431, 435 (2001)] (</w:t>
      </w:r>
      <w:r w:rsidRPr="0033080B">
        <w:rPr>
          <w:color w:val="212121"/>
          <w:szCs w:val="24"/>
        </w:rPr>
        <w:t>“What is required is that the judge make an appropriate inqui</w:t>
      </w:r>
      <w:r w:rsidRPr="00F17C57">
        <w:rPr>
          <w:color w:val="212121"/>
          <w:szCs w:val="24"/>
        </w:rPr>
        <w:t>ry to establish that the parent</w:t>
      </w:r>
      <w:r>
        <w:rPr>
          <w:color w:val="212121"/>
          <w:szCs w:val="24"/>
        </w:rPr>
        <w:t>’</w:t>
      </w:r>
      <w:r w:rsidRPr="0033080B">
        <w:rPr>
          <w:color w:val="212121"/>
          <w:szCs w:val="24"/>
        </w:rPr>
        <w:t xml:space="preserve">s consent was knowing and voluntary”). </w:t>
      </w:r>
      <w:r>
        <w:rPr>
          <w:color w:val="212121"/>
          <w:szCs w:val="24"/>
        </w:rPr>
        <w:t xml:space="preserve"> </w:t>
      </w:r>
      <w:r w:rsidRPr="0033080B">
        <w:rPr>
          <w:color w:val="212121"/>
          <w:szCs w:val="24"/>
        </w:rPr>
        <w:t xml:space="preserve">During the colloquy, the mother informed the judge that she understood the terms of the agreement, that she found the terms reasonable and fair, that she had an opportunity to consult with her attorney, and that she had signed the agreement freely and voluntarily. There was no evidence of mental insufficiency or intoxication at the time of consent. </w:t>
      </w:r>
      <w:r>
        <w:rPr>
          <w:color w:val="212121"/>
          <w:szCs w:val="24"/>
        </w:rPr>
        <w:t xml:space="preserve"> </w:t>
      </w:r>
      <w:r w:rsidRPr="0033080B">
        <w:rPr>
          <w:color w:val="212121"/>
          <w:szCs w:val="24"/>
          <w:u w:val="single"/>
        </w:rPr>
        <w:t>See</w:t>
      </w:r>
      <w:r w:rsidRPr="0033080B">
        <w:rPr>
          <w:color w:val="212121"/>
          <w:szCs w:val="24"/>
        </w:rPr>
        <w:t> </w:t>
      </w:r>
      <w:r w:rsidRPr="0033080B">
        <w:rPr>
          <w:rStyle w:val="counderline"/>
          <w:szCs w:val="24"/>
          <w:u w:val="single"/>
        </w:rPr>
        <w:t>id</w:t>
      </w:r>
      <w:r w:rsidRPr="00527C43">
        <w:rPr>
          <w:szCs w:val="24"/>
        </w:rPr>
        <w:t>. at 435-436</w:t>
      </w:r>
      <w:r w:rsidRPr="0033080B">
        <w:rPr>
          <w:szCs w:val="24"/>
        </w:rPr>
        <w:t>.</w:t>
      </w:r>
    </w:p>
    <w:p w14:paraId="699C092B" w14:textId="77777777" w:rsidR="00527C43" w:rsidRPr="0033080B" w:rsidRDefault="00527C43" w:rsidP="00527C43">
      <w:pPr>
        <w:ind w:left="720" w:right="720"/>
        <w:rPr>
          <w:color w:val="212121"/>
          <w:szCs w:val="24"/>
        </w:rPr>
      </w:pPr>
    </w:p>
    <w:p w14:paraId="2218A3F2" w14:textId="77777777" w:rsidR="00527C43" w:rsidRDefault="00527C43" w:rsidP="00527C43">
      <w:pPr>
        <w:rPr>
          <w:color w:val="212121"/>
          <w:szCs w:val="24"/>
        </w:rPr>
      </w:pPr>
      <w:r w:rsidRPr="0033080B">
        <w:rPr>
          <w:color w:val="212121"/>
          <w:szCs w:val="24"/>
        </w:rPr>
        <w:t>Later, the mother testified at an evidentiary hearing on her motion for reconsideration that she did not sign the agreement voluntarily</w:t>
      </w:r>
      <w:r>
        <w:rPr>
          <w:color w:val="212121"/>
          <w:szCs w:val="24"/>
        </w:rPr>
        <w:t>.  According to the mother, her attorney coerced her into doing so by telling her that, if she didn’t, she would never see her child again</w:t>
      </w:r>
      <w:r w:rsidRPr="0033080B">
        <w:rPr>
          <w:color w:val="212121"/>
          <w:szCs w:val="24"/>
        </w:rPr>
        <w:t xml:space="preserve">.  </w:t>
      </w:r>
    </w:p>
    <w:p w14:paraId="26562EEB" w14:textId="77777777" w:rsidR="00527C43" w:rsidRDefault="00527C43" w:rsidP="00527C43">
      <w:pPr>
        <w:rPr>
          <w:color w:val="212121"/>
          <w:szCs w:val="24"/>
        </w:rPr>
      </w:pPr>
    </w:p>
    <w:p w14:paraId="5352A318" w14:textId="77777777" w:rsidR="00527C43" w:rsidRDefault="00527C43" w:rsidP="00527C43">
      <w:pPr>
        <w:rPr>
          <w:szCs w:val="24"/>
        </w:rPr>
      </w:pPr>
      <w:r w:rsidRPr="0033080B">
        <w:rPr>
          <w:color w:val="212121"/>
          <w:szCs w:val="24"/>
        </w:rPr>
        <w:t xml:space="preserve">The judge credited the mother’s representations made during the colloquy and discredited her testimony given at the evidentiary hearing. </w:t>
      </w:r>
      <w:r>
        <w:rPr>
          <w:color w:val="212121"/>
          <w:szCs w:val="24"/>
        </w:rPr>
        <w:t xml:space="preserve"> In support of her claim, </w:t>
      </w:r>
      <w:r>
        <w:rPr>
          <w:szCs w:val="24"/>
        </w:rPr>
        <w:t>t</w:t>
      </w:r>
      <w:r w:rsidRPr="004C727E">
        <w:rPr>
          <w:szCs w:val="24"/>
        </w:rPr>
        <w:t xml:space="preserve">he mother submitted text messages between herself and her attorney.  Although </w:t>
      </w:r>
      <w:r>
        <w:rPr>
          <w:szCs w:val="24"/>
        </w:rPr>
        <w:t>the panel</w:t>
      </w:r>
      <w:r w:rsidRPr="004C727E">
        <w:rPr>
          <w:szCs w:val="24"/>
        </w:rPr>
        <w:t xml:space="preserve"> did not recite the contents of the text messages, </w:t>
      </w:r>
      <w:r>
        <w:rPr>
          <w:szCs w:val="24"/>
        </w:rPr>
        <w:t>it</w:t>
      </w:r>
      <w:r w:rsidRPr="004C727E">
        <w:rPr>
          <w:szCs w:val="24"/>
        </w:rPr>
        <w:t xml:space="preserve"> noted that the</w:t>
      </w:r>
      <w:r>
        <w:rPr>
          <w:szCs w:val="24"/>
        </w:rPr>
        <w:t xml:space="preserve"> messages</w:t>
      </w:r>
      <w:r w:rsidRPr="004C727E">
        <w:rPr>
          <w:szCs w:val="24"/>
        </w:rPr>
        <w:t xml:space="preserve"> “do not paint trial counsel in a flattering light.”  Nonetheless, it found that they did not compel a finding of coercion.  The attorney had advised </w:t>
      </w:r>
      <w:r>
        <w:rPr>
          <w:szCs w:val="24"/>
        </w:rPr>
        <w:t>the mother</w:t>
      </w:r>
      <w:r w:rsidRPr="004C727E">
        <w:rPr>
          <w:szCs w:val="24"/>
        </w:rPr>
        <w:t xml:space="preserve"> that she would not win if she went to trial and </w:t>
      </w:r>
      <w:r>
        <w:rPr>
          <w:szCs w:val="24"/>
        </w:rPr>
        <w:t xml:space="preserve">that </w:t>
      </w:r>
      <w:r w:rsidRPr="004C727E">
        <w:rPr>
          <w:szCs w:val="24"/>
        </w:rPr>
        <w:t xml:space="preserve">she had a better chance of establishing visits if she entered into an open adoption agreement.  </w:t>
      </w:r>
      <w:r>
        <w:rPr>
          <w:szCs w:val="24"/>
        </w:rPr>
        <w:t>According to the panel, s</w:t>
      </w:r>
      <w:r w:rsidRPr="004C727E">
        <w:rPr>
          <w:szCs w:val="24"/>
        </w:rPr>
        <w:t>ince the record did not include the transcripts from relevant pretrial hearings, there was no evidence before it that the attorney’s advice was faulty.</w:t>
      </w:r>
    </w:p>
    <w:p w14:paraId="2447B2A0" w14:textId="77777777" w:rsidR="00527C43" w:rsidRPr="004C727E" w:rsidRDefault="00527C43" w:rsidP="00527C43">
      <w:pPr>
        <w:rPr>
          <w:szCs w:val="24"/>
        </w:rPr>
      </w:pPr>
    </w:p>
    <w:p w14:paraId="6D9C74F8" w14:textId="0CE5EF99" w:rsidR="00527C43" w:rsidRDefault="00527C43" w:rsidP="00527C43">
      <w:pPr>
        <w:rPr>
          <w:szCs w:val="24"/>
        </w:rPr>
      </w:pPr>
      <w:r w:rsidRPr="004C727E">
        <w:rPr>
          <w:szCs w:val="24"/>
        </w:rPr>
        <w:t xml:space="preserve">There are two takeaways here.  First, </w:t>
      </w:r>
      <w:r>
        <w:rPr>
          <w:szCs w:val="24"/>
        </w:rPr>
        <w:t>an open adoption</w:t>
      </w:r>
      <w:r w:rsidRPr="004C727E">
        <w:rPr>
          <w:szCs w:val="24"/>
        </w:rPr>
        <w:t xml:space="preserve"> agreement</w:t>
      </w:r>
      <w:r>
        <w:rPr>
          <w:szCs w:val="24"/>
        </w:rPr>
        <w:t xml:space="preserve"> is not</w:t>
      </w:r>
      <w:r w:rsidRPr="004C727E">
        <w:rPr>
          <w:szCs w:val="24"/>
        </w:rPr>
        <w:t xml:space="preserve"> involuntary</w:t>
      </w:r>
      <w:r>
        <w:rPr>
          <w:szCs w:val="24"/>
        </w:rPr>
        <w:t xml:space="preserve"> (or the product of coercion)</w:t>
      </w:r>
      <w:r w:rsidRPr="004C727E">
        <w:rPr>
          <w:szCs w:val="24"/>
        </w:rPr>
        <w:t xml:space="preserve"> just because </w:t>
      </w:r>
      <w:r>
        <w:rPr>
          <w:szCs w:val="24"/>
        </w:rPr>
        <w:t>the parent’s</w:t>
      </w:r>
      <w:r w:rsidRPr="004C727E">
        <w:rPr>
          <w:szCs w:val="24"/>
        </w:rPr>
        <w:t xml:space="preserve"> attorney described the agreement as the only way </w:t>
      </w:r>
      <w:r>
        <w:rPr>
          <w:szCs w:val="24"/>
        </w:rPr>
        <w:t xml:space="preserve">for the parent </w:t>
      </w:r>
      <w:r w:rsidRPr="004C727E">
        <w:rPr>
          <w:szCs w:val="24"/>
        </w:rPr>
        <w:t xml:space="preserve">to </w:t>
      </w:r>
      <w:r>
        <w:rPr>
          <w:szCs w:val="24"/>
        </w:rPr>
        <w:t>obtain</w:t>
      </w:r>
      <w:r w:rsidRPr="004C727E">
        <w:rPr>
          <w:szCs w:val="24"/>
        </w:rPr>
        <w:t xml:space="preserve"> visitation.  Second, </w:t>
      </w:r>
      <w:r>
        <w:rPr>
          <w:szCs w:val="24"/>
        </w:rPr>
        <w:t>if appellate counsel is attempting to show</w:t>
      </w:r>
      <w:r w:rsidRPr="004C727E">
        <w:rPr>
          <w:szCs w:val="24"/>
        </w:rPr>
        <w:t xml:space="preserve"> that </w:t>
      </w:r>
      <w:r>
        <w:rPr>
          <w:szCs w:val="24"/>
        </w:rPr>
        <w:t xml:space="preserve">trial counsel coerced or misled the parent into signing by </w:t>
      </w:r>
      <w:r w:rsidRPr="004C727E">
        <w:rPr>
          <w:szCs w:val="24"/>
        </w:rPr>
        <w:t xml:space="preserve">incorrectly </w:t>
      </w:r>
      <w:r>
        <w:rPr>
          <w:szCs w:val="24"/>
        </w:rPr>
        <w:t>describing</w:t>
      </w:r>
      <w:r w:rsidRPr="004C727E">
        <w:rPr>
          <w:szCs w:val="24"/>
        </w:rPr>
        <w:t xml:space="preserve"> the client’s chances</w:t>
      </w:r>
      <w:r>
        <w:rPr>
          <w:szCs w:val="24"/>
        </w:rPr>
        <w:t xml:space="preserve"> </w:t>
      </w:r>
      <w:r>
        <w:rPr>
          <w:szCs w:val="24"/>
        </w:rPr>
        <w:lastRenderedPageBreak/>
        <w:t>of</w:t>
      </w:r>
      <w:r w:rsidRPr="004C727E">
        <w:rPr>
          <w:szCs w:val="24"/>
        </w:rPr>
        <w:t xml:space="preserve"> </w:t>
      </w:r>
      <w:r>
        <w:rPr>
          <w:szCs w:val="24"/>
        </w:rPr>
        <w:t>success</w:t>
      </w:r>
      <w:r w:rsidRPr="004C727E">
        <w:rPr>
          <w:szCs w:val="24"/>
        </w:rPr>
        <w:t xml:space="preserve">, </w:t>
      </w:r>
      <w:r>
        <w:rPr>
          <w:szCs w:val="24"/>
        </w:rPr>
        <w:t>appellate counsel</w:t>
      </w:r>
      <w:r w:rsidRPr="004C727E">
        <w:rPr>
          <w:szCs w:val="24"/>
        </w:rPr>
        <w:t xml:space="preserve"> mu</w:t>
      </w:r>
      <w:r>
        <w:rPr>
          <w:szCs w:val="24"/>
        </w:rPr>
        <w:t xml:space="preserve">st include </w:t>
      </w:r>
      <w:r w:rsidR="00FD090A">
        <w:rPr>
          <w:szCs w:val="24"/>
        </w:rPr>
        <w:t>evidence showing</w:t>
      </w:r>
      <w:r>
        <w:rPr>
          <w:szCs w:val="24"/>
        </w:rPr>
        <w:t xml:space="preserve"> that the parent did, in fact, have a chance of success</w:t>
      </w:r>
      <w:r w:rsidRPr="004C727E">
        <w:rPr>
          <w:szCs w:val="24"/>
        </w:rPr>
        <w:t xml:space="preserve">. </w:t>
      </w:r>
    </w:p>
    <w:p w14:paraId="26404DEC" w14:textId="77777777" w:rsidR="00527C43" w:rsidRPr="004C727E" w:rsidRDefault="00527C43" w:rsidP="00527C43">
      <w:pPr>
        <w:rPr>
          <w:szCs w:val="24"/>
        </w:rPr>
      </w:pPr>
    </w:p>
    <w:p w14:paraId="0BFA2C15" w14:textId="323AEC42" w:rsidR="00527C43" w:rsidRDefault="00527C43" w:rsidP="00527C43">
      <w:pPr>
        <w:rPr>
          <w:color w:val="212121"/>
          <w:szCs w:val="24"/>
        </w:rPr>
      </w:pPr>
      <w:r w:rsidRPr="00B001B4">
        <w:rPr>
          <w:b/>
          <w:color w:val="212121"/>
          <w:szCs w:val="24"/>
        </w:rPr>
        <w:t>8.</w:t>
      </w:r>
      <w:r w:rsidRPr="00527C43">
        <w:rPr>
          <w:color w:val="212121"/>
          <w:szCs w:val="24"/>
        </w:rPr>
        <w:t xml:space="preserve"> </w:t>
      </w:r>
      <w:r w:rsidRPr="0033690D">
        <w:rPr>
          <w:b/>
          <w:color w:val="212121"/>
          <w:szCs w:val="24"/>
          <w:u w:val="single"/>
        </w:rPr>
        <w:t>K.C.C. vs. C.D.</w:t>
      </w:r>
      <w:r w:rsidRPr="0033690D">
        <w:rPr>
          <w:b/>
          <w:color w:val="212121"/>
          <w:szCs w:val="24"/>
        </w:rPr>
        <w:t>, 95 Mass.</w:t>
      </w:r>
      <w:r>
        <w:rPr>
          <w:b/>
          <w:color w:val="212121"/>
          <w:szCs w:val="24"/>
        </w:rPr>
        <w:t xml:space="preserve"> </w:t>
      </w:r>
      <w:r w:rsidRPr="0033690D">
        <w:rPr>
          <w:b/>
          <w:color w:val="212121"/>
          <w:szCs w:val="24"/>
        </w:rPr>
        <w:t>App.</w:t>
      </w:r>
      <w:r>
        <w:rPr>
          <w:b/>
          <w:color w:val="212121"/>
          <w:szCs w:val="24"/>
        </w:rPr>
        <w:t xml:space="preserve"> </w:t>
      </w:r>
      <w:r w:rsidRPr="0033690D">
        <w:rPr>
          <w:b/>
          <w:color w:val="212121"/>
          <w:szCs w:val="24"/>
        </w:rPr>
        <w:t>Ct. 1109 (2019) (Mass. App. Ct. Rule 1:28)</w:t>
      </w:r>
      <w:r w:rsidR="001A1AA8">
        <w:rPr>
          <w:b/>
          <w:color w:val="212121"/>
          <w:szCs w:val="24"/>
        </w:rPr>
        <w:t xml:space="preserve"> (Desmond, Sacks, </w:t>
      </w:r>
      <w:proofErr w:type="spellStart"/>
      <w:r w:rsidR="001A1AA8">
        <w:rPr>
          <w:b/>
          <w:color w:val="212121"/>
          <w:szCs w:val="24"/>
        </w:rPr>
        <w:t>Lemire</w:t>
      </w:r>
      <w:proofErr w:type="spellEnd"/>
      <w:r w:rsidR="001A1AA8">
        <w:rPr>
          <w:b/>
          <w:color w:val="212121"/>
          <w:szCs w:val="24"/>
        </w:rPr>
        <w:t>)</w:t>
      </w:r>
      <w:r w:rsidRPr="004C727E">
        <w:rPr>
          <w:color w:val="212121"/>
          <w:szCs w:val="24"/>
        </w:rPr>
        <w:t xml:space="preserve">, is a stark illustration of the obligations of trial and appellate counsel to communicate with each other about assembly of the record.  </w:t>
      </w:r>
    </w:p>
    <w:p w14:paraId="1779D0D6" w14:textId="77777777" w:rsidR="00527C43" w:rsidRPr="004C727E" w:rsidRDefault="00527C43" w:rsidP="00527C43">
      <w:pPr>
        <w:rPr>
          <w:color w:val="212121"/>
          <w:szCs w:val="24"/>
        </w:rPr>
      </w:pPr>
    </w:p>
    <w:p w14:paraId="374D65DA" w14:textId="77777777" w:rsidR="00527C43" w:rsidRDefault="00527C43" w:rsidP="00527C43">
      <w:pPr>
        <w:rPr>
          <w:color w:val="212121"/>
          <w:szCs w:val="24"/>
        </w:rPr>
      </w:pPr>
      <w:r>
        <w:rPr>
          <w:color w:val="212121"/>
          <w:szCs w:val="24"/>
        </w:rPr>
        <w:t>A</w:t>
      </w:r>
      <w:r w:rsidRPr="004C727E">
        <w:rPr>
          <w:color w:val="212121"/>
          <w:szCs w:val="24"/>
        </w:rPr>
        <w:t xml:space="preserve"> plaintiff filed a complaint in equity to establish paternity</w:t>
      </w:r>
      <w:r>
        <w:rPr>
          <w:color w:val="212121"/>
          <w:szCs w:val="24"/>
        </w:rPr>
        <w:t xml:space="preserve"> in the Probate and Family Court.  T</w:t>
      </w:r>
      <w:r w:rsidRPr="004C727E">
        <w:rPr>
          <w:color w:val="212121"/>
          <w:szCs w:val="24"/>
        </w:rPr>
        <w:t>he judge granted summary judgment for the defendants, and the plaintiff appeal</w:t>
      </w:r>
      <w:r>
        <w:rPr>
          <w:color w:val="212121"/>
          <w:szCs w:val="24"/>
        </w:rPr>
        <w:t xml:space="preserve">ed. </w:t>
      </w:r>
      <w:r w:rsidRPr="004C727E">
        <w:rPr>
          <w:color w:val="212121"/>
          <w:szCs w:val="24"/>
        </w:rPr>
        <w:t xml:space="preserve"> </w:t>
      </w:r>
      <w:r>
        <w:rPr>
          <w:color w:val="212121"/>
          <w:szCs w:val="24"/>
        </w:rPr>
        <w:t xml:space="preserve">The </w:t>
      </w:r>
      <w:r w:rsidRPr="004C727E">
        <w:rPr>
          <w:color w:val="212121"/>
          <w:szCs w:val="24"/>
        </w:rPr>
        <w:t xml:space="preserve">plaintiff's trial counsel </w:t>
      </w:r>
      <w:r w:rsidRPr="00461741">
        <w:rPr>
          <w:i/>
          <w:color w:val="212121"/>
          <w:szCs w:val="24"/>
        </w:rPr>
        <w:t>and</w:t>
      </w:r>
      <w:r w:rsidRPr="004C727E">
        <w:rPr>
          <w:color w:val="212121"/>
          <w:szCs w:val="24"/>
        </w:rPr>
        <w:t xml:space="preserve"> appellate counsel </w:t>
      </w:r>
      <w:r>
        <w:rPr>
          <w:color w:val="212121"/>
          <w:szCs w:val="24"/>
        </w:rPr>
        <w:t xml:space="preserve">had both filed appearances and </w:t>
      </w:r>
      <w:r w:rsidRPr="004C727E">
        <w:rPr>
          <w:color w:val="212121"/>
          <w:szCs w:val="24"/>
        </w:rPr>
        <w:t xml:space="preserve">were listed on the docket. The register's office sent the notice of assembly of the record </w:t>
      </w:r>
      <w:r w:rsidRPr="004C727E">
        <w:rPr>
          <w:i/>
          <w:color w:val="212121"/>
          <w:szCs w:val="24"/>
        </w:rPr>
        <w:t>only</w:t>
      </w:r>
      <w:r w:rsidRPr="004C727E">
        <w:rPr>
          <w:color w:val="212121"/>
          <w:szCs w:val="24"/>
        </w:rPr>
        <w:t xml:space="preserve"> to trial counsel</w:t>
      </w:r>
      <w:r>
        <w:rPr>
          <w:color w:val="212121"/>
          <w:szCs w:val="24"/>
        </w:rPr>
        <w:t>.</w:t>
      </w:r>
      <w:r w:rsidRPr="004C727E">
        <w:rPr>
          <w:color w:val="212121"/>
          <w:szCs w:val="24"/>
        </w:rPr>
        <w:t xml:space="preserve"> When trial counsel received the notice, she assumed appellate counsel had </w:t>
      </w:r>
      <w:r>
        <w:rPr>
          <w:color w:val="212121"/>
          <w:szCs w:val="24"/>
        </w:rPr>
        <w:t xml:space="preserve">it </w:t>
      </w:r>
      <w:r w:rsidRPr="004C727E">
        <w:rPr>
          <w:color w:val="212121"/>
          <w:szCs w:val="24"/>
        </w:rPr>
        <w:t>as well and did not notify her.</w:t>
      </w:r>
      <w:r w:rsidRPr="004C727E">
        <w:rPr>
          <w:color w:val="212121"/>
          <w:szCs w:val="24"/>
          <w:vertAlign w:val="superscript"/>
        </w:rPr>
        <w:t xml:space="preserve"> </w:t>
      </w:r>
      <w:r w:rsidRPr="004C727E">
        <w:rPr>
          <w:color w:val="212121"/>
          <w:szCs w:val="24"/>
        </w:rPr>
        <w:t xml:space="preserve"> Appellate counsel did not learn that the record had been assembled until </w:t>
      </w:r>
      <w:r>
        <w:rPr>
          <w:color w:val="212121"/>
          <w:szCs w:val="24"/>
        </w:rPr>
        <w:t>one day</w:t>
      </w:r>
      <w:r w:rsidRPr="004C727E">
        <w:rPr>
          <w:color w:val="212121"/>
          <w:szCs w:val="24"/>
        </w:rPr>
        <w:t xml:space="preserve"> after the deadline to enter the appeal.  </w:t>
      </w:r>
    </w:p>
    <w:p w14:paraId="2F493A4E" w14:textId="77777777" w:rsidR="00527C43" w:rsidRPr="004C727E" w:rsidRDefault="00527C43" w:rsidP="00527C43">
      <w:pPr>
        <w:rPr>
          <w:color w:val="212121"/>
          <w:szCs w:val="24"/>
        </w:rPr>
      </w:pPr>
    </w:p>
    <w:p w14:paraId="274EA192" w14:textId="77777777" w:rsidR="00527C43" w:rsidRDefault="00527C43" w:rsidP="00527C43">
      <w:pPr>
        <w:rPr>
          <w:color w:val="212121"/>
          <w:szCs w:val="24"/>
        </w:rPr>
      </w:pPr>
      <w:r w:rsidRPr="004C727E">
        <w:rPr>
          <w:color w:val="212121"/>
          <w:szCs w:val="24"/>
        </w:rPr>
        <w:t>Appellate counsel moved to enter the appeal late, but a single justice denied the motion.  On appeal from that decision, the plaintiff argued that the failure of the register's office to send the notice of assembly to his appellate counsel constituted “good cause” for his late filing.</w:t>
      </w:r>
      <w:r w:rsidRPr="004C727E">
        <w:rPr>
          <w:color w:val="212121"/>
          <w:szCs w:val="24"/>
          <w:vertAlign w:val="superscript"/>
        </w:rPr>
        <w:t xml:space="preserve"> </w:t>
      </w:r>
      <w:r w:rsidRPr="004C727E">
        <w:rPr>
          <w:color w:val="212121"/>
          <w:szCs w:val="24"/>
        </w:rPr>
        <w:t xml:space="preserve"> The panel </w:t>
      </w:r>
      <w:r>
        <w:rPr>
          <w:color w:val="212121"/>
          <w:szCs w:val="24"/>
        </w:rPr>
        <w:t>disagreed, noting</w:t>
      </w:r>
      <w:r w:rsidRPr="004C727E">
        <w:rPr>
          <w:color w:val="212121"/>
          <w:szCs w:val="24"/>
        </w:rPr>
        <w:t xml:space="preserve"> that while it would have been “preferable” if the register's office had notified all counsel of record, the single justice did not err in concluding that “trial counsel's failure to communicate receipt of the notice of assembly to appellate counsel is not sufficient reason to warrant a finding of excusable neglect.”</w:t>
      </w:r>
    </w:p>
    <w:p w14:paraId="0E9932B6" w14:textId="77777777" w:rsidR="00527C43" w:rsidRDefault="00527C43" w:rsidP="00527C43">
      <w:pPr>
        <w:rPr>
          <w:color w:val="212121"/>
          <w:szCs w:val="24"/>
        </w:rPr>
      </w:pPr>
    </w:p>
    <w:p w14:paraId="263B2D56" w14:textId="77777777" w:rsidR="00527C43" w:rsidRDefault="00527C43" w:rsidP="00527C43">
      <w:pPr>
        <w:rPr>
          <w:color w:val="212121"/>
          <w:szCs w:val="24"/>
        </w:rPr>
      </w:pPr>
      <w:r>
        <w:rPr>
          <w:color w:val="212121"/>
          <w:szCs w:val="24"/>
        </w:rPr>
        <w:t>T</w:t>
      </w:r>
      <w:r w:rsidRPr="004C727E">
        <w:rPr>
          <w:color w:val="212121"/>
          <w:szCs w:val="24"/>
        </w:rPr>
        <w:t xml:space="preserve">he panel did not reach the merits of the case.  </w:t>
      </w:r>
    </w:p>
    <w:p w14:paraId="4746FF14" w14:textId="77777777" w:rsidR="00527C43" w:rsidRDefault="00527C43" w:rsidP="00527C43">
      <w:pPr>
        <w:rPr>
          <w:color w:val="212121"/>
          <w:szCs w:val="24"/>
        </w:rPr>
      </w:pPr>
    </w:p>
    <w:p w14:paraId="09B47D02" w14:textId="6D743461" w:rsidR="00527C43" w:rsidRDefault="00527C43" w:rsidP="00527C43">
      <w:pPr>
        <w:rPr>
          <w:color w:val="212121"/>
          <w:szCs w:val="24"/>
        </w:rPr>
      </w:pPr>
      <w:r w:rsidRPr="00F54010">
        <w:rPr>
          <w:b/>
          <w:color w:val="212121"/>
          <w:szCs w:val="24"/>
        </w:rPr>
        <w:t xml:space="preserve">The takeaway for trial counsel?  </w:t>
      </w:r>
      <w:r w:rsidRPr="008A4516">
        <w:rPr>
          <w:color w:val="212121"/>
          <w:szCs w:val="24"/>
        </w:rPr>
        <w:t xml:space="preserve">Trial counsel </w:t>
      </w:r>
      <w:r w:rsidRPr="008A4516">
        <w:rPr>
          <w:i/>
          <w:color w:val="212121"/>
          <w:szCs w:val="24"/>
        </w:rPr>
        <w:t>must</w:t>
      </w:r>
      <w:r w:rsidRPr="008A4516">
        <w:rPr>
          <w:color w:val="212121"/>
          <w:szCs w:val="24"/>
        </w:rPr>
        <w:t xml:space="preserve"> let appellate counsel know that he or she received a notice of record assembly.  Don’t assume that appellate counsel received the notice, even if appellate counsel has filed an appearance.  In fact, trial counsel should </w:t>
      </w:r>
      <w:r w:rsidRPr="008A4516">
        <w:rPr>
          <w:i/>
          <w:color w:val="212121"/>
          <w:szCs w:val="24"/>
        </w:rPr>
        <w:t>immediately</w:t>
      </w:r>
      <w:r w:rsidRPr="008A4516">
        <w:rPr>
          <w:color w:val="212121"/>
          <w:szCs w:val="24"/>
        </w:rPr>
        <w:t xml:space="preserve"> send appellate counsel </w:t>
      </w:r>
      <w:r w:rsidRPr="008A4516">
        <w:rPr>
          <w:i/>
          <w:color w:val="212121"/>
          <w:szCs w:val="24"/>
        </w:rPr>
        <w:t>everything</w:t>
      </w:r>
      <w:r w:rsidRPr="008A4516">
        <w:rPr>
          <w:color w:val="212121"/>
          <w:szCs w:val="24"/>
        </w:rPr>
        <w:t xml:space="preserve"> issued by the trial court or clerk’s office after the appeal is filed. The consequences for failure to do so can be dire. </w:t>
      </w:r>
    </w:p>
    <w:p w14:paraId="1E0A5CA9" w14:textId="078C9548" w:rsidR="009F05FB" w:rsidRDefault="009F05FB" w:rsidP="00527C43">
      <w:pPr>
        <w:rPr>
          <w:color w:val="212121"/>
          <w:szCs w:val="24"/>
        </w:rPr>
      </w:pPr>
    </w:p>
    <w:p w14:paraId="3747AAFF" w14:textId="0EB0A802" w:rsidR="009F05FB" w:rsidRPr="008A4516" w:rsidRDefault="009F05FB" w:rsidP="00527C43">
      <w:pPr>
        <w:rPr>
          <w:szCs w:val="24"/>
        </w:rPr>
      </w:pPr>
      <w:r w:rsidRPr="009F05FB">
        <w:rPr>
          <w:b/>
          <w:color w:val="212121"/>
          <w:szCs w:val="24"/>
        </w:rPr>
        <w:t xml:space="preserve">The takeaway for appellate counsel? </w:t>
      </w:r>
      <w:r>
        <w:rPr>
          <w:color w:val="212121"/>
          <w:szCs w:val="24"/>
        </w:rPr>
        <w:t xml:space="preserve"> Appellate counsel should tell trial counsel to let them know ASAP if they receive </w:t>
      </w:r>
      <w:r w:rsidRPr="009F05FB">
        <w:rPr>
          <w:i/>
          <w:color w:val="212121"/>
          <w:szCs w:val="24"/>
        </w:rPr>
        <w:t>any</w:t>
      </w:r>
      <w:r>
        <w:rPr>
          <w:color w:val="212121"/>
          <w:szCs w:val="24"/>
        </w:rPr>
        <w:t xml:space="preserve"> mail from a clerk’s office.  Appellate counsel should also consider sending a letter to the trial court clerk’s office asking the clerk to send them notice of assembly directly.  Is this really necessary if appellate counsel has filed a notice of appearance?  In most cases, no.  But </w:t>
      </w:r>
      <w:r w:rsidRPr="009F05FB">
        <w:rPr>
          <w:color w:val="212121"/>
          <w:szCs w:val="24"/>
          <w:u w:val="single"/>
        </w:rPr>
        <w:t>K.C.C.</w:t>
      </w:r>
      <w:r>
        <w:rPr>
          <w:color w:val="212121"/>
          <w:szCs w:val="24"/>
        </w:rPr>
        <w:t xml:space="preserve"> shows us that the belt and suspenders approach can’t hurt.</w:t>
      </w:r>
    </w:p>
    <w:p w14:paraId="6C2C67ED" w14:textId="77777777" w:rsidR="00527C43" w:rsidRDefault="00527C43" w:rsidP="00C37F0A">
      <w:pPr>
        <w:widowControl/>
        <w:tabs>
          <w:tab w:val="left" w:pos="720"/>
        </w:tabs>
        <w:rPr>
          <w:b/>
          <w:szCs w:val="24"/>
        </w:rPr>
      </w:pPr>
    </w:p>
    <w:p w14:paraId="7E9BE3C2" w14:textId="77777777" w:rsidR="003566EB" w:rsidRDefault="003A34C7" w:rsidP="00AC30A0">
      <w:pPr>
        <w:widowControl/>
        <w:rPr>
          <w:szCs w:val="24"/>
        </w:rPr>
      </w:pPr>
      <w:r>
        <w:rPr>
          <w:b/>
          <w:szCs w:val="24"/>
          <w:u w:val="single"/>
        </w:rPr>
        <w:t>Writing Tip</w:t>
      </w:r>
    </w:p>
    <w:p w14:paraId="3D7D82A3" w14:textId="77777777" w:rsidR="007F69B9" w:rsidRDefault="007F69B9" w:rsidP="00AC30A0">
      <w:pPr>
        <w:widowControl/>
        <w:rPr>
          <w:szCs w:val="24"/>
        </w:rPr>
      </w:pPr>
    </w:p>
    <w:p w14:paraId="1309761E" w14:textId="5E6215C9" w:rsidR="0042524D" w:rsidRDefault="00F54010" w:rsidP="003A34C7">
      <w:pPr>
        <w:widowControl/>
        <w:rPr>
          <w:szCs w:val="24"/>
        </w:rPr>
      </w:pPr>
      <w:r>
        <w:rPr>
          <w:szCs w:val="24"/>
          <w:u w:val="single"/>
        </w:rPr>
        <w:t>Minimal use of</w:t>
      </w:r>
      <w:r w:rsidR="003A34C7" w:rsidRPr="003A34C7">
        <w:rPr>
          <w:szCs w:val="24"/>
          <w:u w:val="single"/>
        </w:rPr>
        <w:t xml:space="preserve"> bold </w:t>
      </w:r>
      <w:r w:rsidR="0042524D">
        <w:rPr>
          <w:szCs w:val="24"/>
          <w:u w:val="single"/>
        </w:rPr>
        <w:t>and</w:t>
      </w:r>
      <w:r w:rsidR="003A34C7" w:rsidRPr="003A34C7">
        <w:rPr>
          <w:szCs w:val="24"/>
          <w:u w:val="single"/>
        </w:rPr>
        <w:t xml:space="preserve"> italics</w:t>
      </w:r>
      <w:r w:rsidR="003A34C7" w:rsidRPr="003A34C7">
        <w:rPr>
          <w:szCs w:val="24"/>
        </w:rPr>
        <w:t xml:space="preserve">.  Every once in a while, we see a brief that has a </w:t>
      </w:r>
      <w:r w:rsidR="003A34C7" w:rsidRPr="003A34C7">
        <w:rPr>
          <w:b/>
          <w:szCs w:val="24"/>
        </w:rPr>
        <w:t>lot</w:t>
      </w:r>
      <w:r w:rsidR="003A34C7" w:rsidRPr="003A34C7">
        <w:rPr>
          <w:szCs w:val="24"/>
        </w:rPr>
        <w:t xml:space="preserve"> of </w:t>
      </w:r>
      <w:r w:rsidR="003A34C7" w:rsidRPr="003A34C7">
        <w:rPr>
          <w:i/>
          <w:szCs w:val="24"/>
        </w:rPr>
        <w:t>really</w:t>
      </w:r>
      <w:r w:rsidR="003A34C7" w:rsidRPr="003A34C7">
        <w:rPr>
          <w:szCs w:val="24"/>
        </w:rPr>
        <w:t xml:space="preserve"> unnecessary and </w:t>
      </w:r>
      <w:r w:rsidR="003A34C7" w:rsidRPr="00D65B5A">
        <w:rPr>
          <w:i/>
          <w:szCs w:val="24"/>
        </w:rPr>
        <w:t xml:space="preserve">completely </w:t>
      </w:r>
      <w:r w:rsidR="003A34C7" w:rsidRPr="00D65B5A">
        <w:rPr>
          <w:b/>
          <w:i/>
          <w:szCs w:val="24"/>
        </w:rPr>
        <w:t>distracting</w:t>
      </w:r>
      <w:r w:rsidR="003A34C7" w:rsidRPr="003A34C7">
        <w:rPr>
          <w:b/>
          <w:szCs w:val="24"/>
        </w:rPr>
        <w:t xml:space="preserve"> </w:t>
      </w:r>
      <w:r w:rsidRPr="00D65B5A">
        <w:rPr>
          <w:szCs w:val="24"/>
        </w:rPr>
        <w:t>italics</w:t>
      </w:r>
      <w:r>
        <w:rPr>
          <w:szCs w:val="24"/>
        </w:rPr>
        <w:t xml:space="preserve"> </w:t>
      </w:r>
      <w:r w:rsidR="003A34C7" w:rsidRPr="00F54010">
        <w:rPr>
          <w:szCs w:val="24"/>
        </w:rPr>
        <w:t>or</w:t>
      </w:r>
      <w:r w:rsidR="003A34C7" w:rsidRPr="003A34C7">
        <w:rPr>
          <w:szCs w:val="24"/>
        </w:rPr>
        <w:t xml:space="preserve"> </w:t>
      </w:r>
      <w:r w:rsidR="003A34C7" w:rsidRPr="00D65B5A">
        <w:rPr>
          <w:szCs w:val="24"/>
        </w:rPr>
        <w:t>bold</w:t>
      </w:r>
      <w:r w:rsidR="003A34C7" w:rsidRPr="003A34C7">
        <w:rPr>
          <w:szCs w:val="24"/>
        </w:rPr>
        <w:t xml:space="preserve">.  </w:t>
      </w:r>
      <w:r>
        <w:rPr>
          <w:szCs w:val="24"/>
        </w:rPr>
        <w:t xml:space="preserve">Bold and italics are fine, but use them sparingly </w:t>
      </w:r>
      <w:r w:rsidR="00877A05">
        <w:rPr>
          <w:szCs w:val="24"/>
        </w:rPr>
        <w:t xml:space="preserve">(not on every page) </w:t>
      </w:r>
      <w:r>
        <w:rPr>
          <w:szCs w:val="24"/>
        </w:rPr>
        <w:t xml:space="preserve">and correctly.  </w:t>
      </w:r>
    </w:p>
    <w:p w14:paraId="6D051AA3" w14:textId="77777777" w:rsidR="0042524D" w:rsidRDefault="0042524D" w:rsidP="003A34C7">
      <w:pPr>
        <w:widowControl/>
        <w:rPr>
          <w:szCs w:val="24"/>
        </w:rPr>
      </w:pPr>
    </w:p>
    <w:p w14:paraId="77DBD2D3" w14:textId="77777777" w:rsidR="003A34C7" w:rsidRDefault="00F54010" w:rsidP="003A34C7">
      <w:pPr>
        <w:widowControl/>
        <w:rPr>
          <w:szCs w:val="24"/>
        </w:rPr>
      </w:pPr>
      <w:r>
        <w:rPr>
          <w:szCs w:val="24"/>
        </w:rPr>
        <w:t>H</w:t>
      </w:r>
      <w:r w:rsidR="003A34C7" w:rsidRPr="003A34C7">
        <w:rPr>
          <w:szCs w:val="24"/>
        </w:rPr>
        <w:t>ere are some tips from</w:t>
      </w:r>
      <w:r w:rsidR="0042524D">
        <w:rPr>
          <w:szCs w:val="24"/>
        </w:rPr>
        <w:t xml:space="preserve"> Matthew </w:t>
      </w:r>
      <w:proofErr w:type="spellStart"/>
      <w:r w:rsidR="0042524D">
        <w:rPr>
          <w:szCs w:val="24"/>
        </w:rPr>
        <w:t>Butterick’s</w:t>
      </w:r>
      <w:proofErr w:type="spellEnd"/>
      <w:r w:rsidR="0042524D">
        <w:rPr>
          <w:szCs w:val="24"/>
        </w:rPr>
        <w:t xml:space="preserve"> </w:t>
      </w:r>
      <w:r w:rsidR="0042524D" w:rsidRPr="0042524D">
        <w:rPr>
          <w:i/>
          <w:szCs w:val="24"/>
        </w:rPr>
        <w:t>Practical Typography</w:t>
      </w:r>
      <w:r w:rsidR="0042524D">
        <w:rPr>
          <w:szCs w:val="24"/>
        </w:rPr>
        <w:t xml:space="preserve"> (2</w:t>
      </w:r>
      <w:r w:rsidR="0042524D" w:rsidRPr="0042524D">
        <w:rPr>
          <w:szCs w:val="24"/>
          <w:vertAlign w:val="superscript"/>
        </w:rPr>
        <w:t>nd</w:t>
      </w:r>
      <w:r w:rsidR="0042524D">
        <w:rPr>
          <w:szCs w:val="24"/>
        </w:rPr>
        <w:t xml:space="preserve"> ed.), available at</w:t>
      </w:r>
      <w:r w:rsidR="003A34C7" w:rsidRPr="003A34C7">
        <w:rPr>
          <w:szCs w:val="24"/>
        </w:rPr>
        <w:t xml:space="preserve"> </w:t>
      </w:r>
      <w:hyperlink r:id="rId8" w:history="1">
        <w:r w:rsidR="003A34C7" w:rsidRPr="005D18D6">
          <w:rPr>
            <w:rStyle w:val="Hyperlink"/>
            <w:szCs w:val="24"/>
          </w:rPr>
          <w:t>https://practicaltypography.com/bold-or-italic.html</w:t>
        </w:r>
      </w:hyperlink>
      <w:r w:rsidR="0042524D">
        <w:rPr>
          <w:szCs w:val="24"/>
        </w:rPr>
        <w:t xml:space="preserve"> (5/13/2020):</w:t>
      </w:r>
    </w:p>
    <w:p w14:paraId="4733F358" w14:textId="77777777" w:rsidR="005D18D6" w:rsidRPr="003A34C7" w:rsidRDefault="005D18D6" w:rsidP="003A34C7">
      <w:pPr>
        <w:widowControl/>
        <w:rPr>
          <w:szCs w:val="24"/>
        </w:rPr>
      </w:pPr>
    </w:p>
    <w:p w14:paraId="2F0B5933" w14:textId="77777777" w:rsidR="003A34C7" w:rsidRPr="003A34C7" w:rsidRDefault="003A34C7" w:rsidP="003A34C7">
      <w:pPr>
        <w:widowControl/>
        <w:numPr>
          <w:ilvl w:val="0"/>
          <w:numId w:val="38"/>
        </w:numPr>
        <w:rPr>
          <w:szCs w:val="24"/>
        </w:rPr>
      </w:pPr>
      <w:r w:rsidRPr="003A34C7">
        <w:rPr>
          <w:szCs w:val="24"/>
        </w:rPr>
        <w:lastRenderedPageBreak/>
        <w:t xml:space="preserve">Pick one: italics or bold. </w:t>
      </w:r>
      <w:r w:rsidR="00F54010">
        <w:rPr>
          <w:szCs w:val="24"/>
        </w:rPr>
        <w:t xml:space="preserve"> </w:t>
      </w:r>
      <w:r w:rsidRPr="003A34C7">
        <w:rPr>
          <w:szCs w:val="24"/>
        </w:rPr>
        <w:t>Don’t use both.</w:t>
      </w:r>
    </w:p>
    <w:p w14:paraId="6169D863" w14:textId="77777777" w:rsidR="003A34C7" w:rsidRPr="003A34C7" w:rsidRDefault="003A34C7" w:rsidP="003A34C7">
      <w:pPr>
        <w:widowControl/>
        <w:numPr>
          <w:ilvl w:val="0"/>
          <w:numId w:val="38"/>
        </w:numPr>
        <w:rPr>
          <w:szCs w:val="24"/>
        </w:rPr>
      </w:pPr>
      <w:r w:rsidRPr="003A34C7">
        <w:rPr>
          <w:szCs w:val="24"/>
        </w:rPr>
        <w:t xml:space="preserve">Use bold or italics for emphasis as little as possible.  </w:t>
      </w:r>
      <w:r w:rsidR="0042524D">
        <w:rPr>
          <w:szCs w:val="24"/>
        </w:rPr>
        <w:t>“[I]f</w:t>
      </w:r>
      <w:r w:rsidR="0042524D">
        <w:rPr>
          <w:color w:val="131313"/>
          <w:szCs w:val="24"/>
          <w:shd w:val="clear" w:color="auto" w:fill="FFFFFF"/>
        </w:rPr>
        <w:t xml:space="preserve"> everything is emphasized, then nothing is emphasized.”</w:t>
      </w:r>
    </w:p>
    <w:p w14:paraId="349F2628" w14:textId="77777777" w:rsidR="003A34C7" w:rsidRPr="003A34C7" w:rsidRDefault="003A34C7" w:rsidP="003A34C7">
      <w:pPr>
        <w:widowControl/>
        <w:numPr>
          <w:ilvl w:val="0"/>
          <w:numId w:val="38"/>
        </w:numPr>
        <w:rPr>
          <w:szCs w:val="24"/>
        </w:rPr>
      </w:pPr>
      <w:r w:rsidRPr="003A34C7">
        <w:rPr>
          <w:szCs w:val="24"/>
        </w:rPr>
        <w:t xml:space="preserve">If your font is a serif font </w:t>
      </w:r>
      <w:r w:rsidR="0042524D">
        <w:rPr>
          <w:szCs w:val="24"/>
        </w:rPr>
        <w:t xml:space="preserve">(which has </w:t>
      </w:r>
      <w:r w:rsidR="00AE0DAD">
        <w:rPr>
          <w:szCs w:val="24"/>
        </w:rPr>
        <w:t>little</w:t>
      </w:r>
      <w:r w:rsidRPr="003A34C7">
        <w:rPr>
          <w:szCs w:val="24"/>
        </w:rPr>
        <w:t xml:space="preserve"> lines or “feet” coming off the ends of the letters</w:t>
      </w:r>
      <w:r w:rsidR="00AE0DAD">
        <w:rPr>
          <w:szCs w:val="24"/>
        </w:rPr>
        <w:t>, as in</w:t>
      </w:r>
      <w:r w:rsidRPr="003A34C7">
        <w:rPr>
          <w:szCs w:val="24"/>
        </w:rPr>
        <w:t xml:space="preserve"> Times New Roman, Courier, Garamond</w:t>
      </w:r>
      <w:r w:rsidR="008A4516">
        <w:rPr>
          <w:szCs w:val="24"/>
        </w:rPr>
        <w:t>,</w:t>
      </w:r>
      <w:r w:rsidRPr="003A34C7">
        <w:rPr>
          <w:szCs w:val="24"/>
        </w:rPr>
        <w:t xml:space="preserve"> or Georgia), use bold for heavier emphasis and italics for gentle emphasis</w:t>
      </w:r>
      <w:r w:rsidR="005D18D6">
        <w:rPr>
          <w:szCs w:val="24"/>
        </w:rPr>
        <w:t>.</w:t>
      </w:r>
    </w:p>
    <w:p w14:paraId="58879E5A" w14:textId="77777777" w:rsidR="003A34C7" w:rsidRPr="003A34C7" w:rsidRDefault="00AE0DAD" w:rsidP="003A34C7">
      <w:pPr>
        <w:widowControl/>
        <w:numPr>
          <w:ilvl w:val="0"/>
          <w:numId w:val="38"/>
        </w:numPr>
        <w:rPr>
          <w:szCs w:val="24"/>
        </w:rPr>
      </w:pPr>
      <w:r>
        <w:rPr>
          <w:szCs w:val="24"/>
        </w:rPr>
        <w:t>If your font is a sans serif font (which has</w:t>
      </w:r>
      <w:r w:rsidR="003A34C7" w:rsidRPr="003A34C7">
        <w:rPr>
          <w:szCs w:val="24"/>
        </w:rPr>
        <w:t xml:space="preserve"> no little </w:t>
      </w:r>
      <w:r>
        <w:rPr>
          <w:szCs w:val="24"/>
        </w:rPr>
        <w:t>feet</w:t>
      </w:r>
      <w:r w:rsidR="003A34C7" w:rsidRPr="003A34C7">
        <w:rPr>
          <w:szCs w:val="24"/>
        </w:rPr>
        <w:t xml:space="preserve"> on the end</w:t>
      </w:r>
      <w:r>
        <w:rPr>
          <w:szCs w:val="24"/>
        </w:rPr>
        <w:t>s</w:t>
      </w:r>
      <w:r w:rsidR="003A34C7" w:rsidRPr="003A34C7">
        <w:rPr>
          <w:szCs w:val="24"/>
        </w:rPr>
        <w:t xml:space="preserve"> of the letter</w:t>
      </w:r>
      <w:r w:rsidR="008A4516">
        <w:rPr>
          <w:szCs w:val="24"/>
        </w:rPr>
        <w:t>s</w:t>
      </w:r>
      <w:r w:rsidR="0042524D">
        <w:rPr>
          <w:szCs w:val="24"/>
        </w:rPr>
        <w:t>, as in</w:t>
      </w:r>
      <w:r w:rsidR="008A4516">
        <w:rPr>
          <w:szCs w:val="24"/>
        </w:rPr>
        <w:t xml:space="preserve"> Helvetica, Verdana, </w:t>
      </w:r>
      <w:r w:rsidR="0042524D">
        <w:rPr>
          <w:szCs w:val="24"/>
        </w:rPr>
        <w:t xml:space="preserve">and </w:t>
      </w:r>
      <w:r w:rsidR="008A4516">
        <w:rPr>
          <w:szCs w:val="24"/>
        </w:rPr>
        <w:t>Aria</w:t>
      </w:r>
      <w:r w:rsidR="003A34C7" w:rsidRPr="003A34C7">
        <w:rPr>
          <w:szCs w:val="24"/>
        </w:rPr>
        <w:t>l)</w:t>
      </w:r>
      <w:r>
        <w:rPr>
          <w:szCs w:val="24"/>
        </w:rPr>
        <w:t>, use bold only.  The slant of italics is too slight to see clearly.</w:t>
      </w:r>
      <w:r w:rsidR="003A34C7" w:rsidRPr="003A34C7">
        <w:rPr>
          <w:szCs w:val="24"/>
        </w:rPr>
        <w:t xml:space="preserve">  </w:t>
      </w:r>
    </w:p>
    <w:p w14:paraId="65D2CA05" w14:textId="77777777" w:rsidR="00AE0DAD" w:rsidRPr="00C40D9E" w:rsidRDefault="003A34C7" w:rsidP="00AE0DAD">
      <w:pPr>
        <w:widowControl/>
        <w:numPr>
          <w:ilvl w:val="0"/>
          <w:numId w:val="38"/>
        </w:numPr>
        <w:rPr>
          <w:szCs w:val="24"/>
        </w:rPr>
      </w:pPr>
      <w:r w:rsidRPr="00C40D9E">
        <w:rPr>
          <w:szCs w:val="24"/>
        </w:rPr>
        <w:t xml:space="preserve">Do not </w:t>
      </w:r>
      <w:r w:rsidR="008A4516" w:rsidRPr="00C40D9E">
        <w:rPr>
          <w:szCs w:val="24"/>
        </w:rPr>
        <w:t xml:space="preserve">use bold or italics for </w:t>
      </w:r>
      <w:r w:rsidRPr="00C40D9E">
        <w:rPr>
          <w:szCs w:val="24"/>
        </w:rPr>
        <w:t xml:space="preserve">punctuation, parenthesis, </w:t>
      </w:r>
      <w:r w:rsidR="008A4516" w:rsidRPr="00C40D9E">
        <w:rPr>
          <w:szCs w:val="24"/>
        </w:rPr>
        <w:t xml:space="preserve">or </w:t>
      </w:r>
      <w:r w:rsidRPr="00C40D9E">
        <w:rPr>
          <w:szCs w:val="24"/>
        </w:rPr>
        <w:t>brackets</w:t>
      </w:r>
      <w:r w:rsidR="00AE0DAD" w:rsidRPr="00C40D9E">
        <w:rPr>
          <w:szCs w:val="24"/>
        </w:rPr>
        <w:t xml:space="preserve"> at the outside edges of your emphasized words.   </w:t>
      </w:r>
    </w:p>
    <w:p w14:paraId="629D0E29" w14:textId="77777777" w:rsidR="005D18D6" w:rsidRPr="0042524D" w:rsidRDefault="005D18D6" w:rsidP="005D18D6">
      <w:pPr>
        <w:widowControl/>
        <w:ind w:left="720"/>
        <w:rPr>
          <w:szCs w:val="24"/>
        </w:rPr>
      </w:pPr>
    </w:p>
    <w:p w14:paraId="3E352DC3" w14:textId="73EAA911" w:rsidR="00D65B5A" w:rsidRPr="0042524D" w:rsidRDefault="00C40D9E" w:rsidP="003A34C7">
      <w:pPr>
        <w:widowControl/>
        <w:rPr>
          <w:szCs w:val="24"/>
        </w:rPr>
      </w:pPr>
      <w:r>
        <w:rPr>
          <w:szCs w:val="24"/>
        </w:rPr>
        <w:t xml:space="preserve">Sometimes we see briefs that use bold for all record references.  Please don’t do that.  </w:t>
      </w:r>
      <w:r w:rsidR="00D65B5A" w:rsidRPr="0042524D">
        <w:rPr>
          <w:szCs w:val="24"/>
        </w:rPr>
        <w:t xml:space="preserve">That’s too much bold, </w:t>
      </w:r>
      <w:r w:rsidR="00877A05">
        <w:rPr>
          <w:szCs w:val="24"/>
        </w:rPr>
        <w:t xml:space="preserve">it looks weird, </w:t>
      </w:r>
      <w:r w:rsidR="00D65B5A" w:rsidRPr="0042524D">
        <w:rPr>
          <w:szCs w:val="24"/>
        </w:rPr>
        <w:t>and you can make record references stand out from the text by using parentheses instead.</w:t>
      </w:r>
      <w:r>
        <w:rPr>
          <w:szCs w:val="24"/>
        </w:rPr>
        <w:t xml:space="preserve"> For example:</w:t>
      </w:r>
    </w:p>
    <w:p w14:paraId="192956C7" w14:textId="77777777" w:rsidR="00D65B5A" w:rsidRPr="0042524D" w:rsidRDefault="00D65B5A" w:rsidP="003A34C7">
      <w:pPr>
        <w:widowControl/>
        <w:rPr>
          <w:szCs w:val="24"/>
        </w:rPr>
      </w:pPr>
    </w:p>
    <w:p w14:paraId="61F2C7F7" w14:textId="397E12C0" w:rsidR="00D65B5A" w:rsidRPr="0042524D" w:rsidRDefault="00D65B5A" w:rsidP="00D65B5A">
      <w:pPr>
        <w:widowControl/>
        <w:ind w:left="720" w:right="720"/>
        <w:rPr>
          <w:szCs w:val="24"/>
        </w:rPr>
      </w:pPr>
      <w:r w:rsidRPr="0042524D">
        <w:rPr>
          <w:szCs w:val="24"/>
        </w:rPr>
        <w:t>Father underwent a sexual abuse assessment in May 2017.  (RA. 476, 482).  The DCF worker was well aware of this (RA. 421-25, 472-83)</w:t>
      </w:r>
      <w:r w:rsidR="007C2A01">
        <w:rPr>
          <w:szCs w:val="24"/>
        </w:rPr>
        <w:t>, b</w:t>
      </w:r>
      <w:r w:rsidRPr="0042524D">
        <w:rPr>
          <w:szCs w:val="24"/>
        </w:rPr>
        <w:t>ut she claimed a lack of awareness during testimony.  (Tr. II:160-68).</w:t>
      </w:r>
    </w:p>
    <w:p w14:paraId="39EE26FF" w14:textId="77777777" w:rsidR="00D65B5A" w:rsidRPr="0042524D" w:rsidRDefault="00D65B5A" w:rsidP="003A34C7">
      <w:pPr>
        <w:widowControl/>
        <w:rPr>
          <w:szCs w:val="24"/>
        </w:rPr>
      </w:pPr>
    </w:p>
    <w:p w14:paraId="005ADD6E" w14:textId="77777777" w:rsidR="003A34C7" w:rsidRPr="003A34C7" w:rsidRDefault="00D65B5A" w:rsidP="003A34C7">
      <w:pPr>
        <w:widowControl/>
        <w:rPr>
          <w:szCs w:val="24"/>
        </w:rPr>
      </w:pPr>
      <w:r w:rsidRPr="0042524D">
        <w:rPr>
          <w:szCs w:val="24"/>
        </w:rPr>
        <w:t>If</w:t>
      </w:r>
      <w:r w:rsidR="003A34C7" w:rsidRPr="0042524D">
        <w:rPr>
          <w:szCs w:val="24"/>
        </w:rPr>
        <w:t xml:space="preserve"> you emphasize part of a quote with bold or italic</w:t>
      </w:r>
      <w:r w:rsidR="008A4516" w:rsidRPr="0042524D">
        <w:rPr>
          <w:szCs w:val="24"/>
        </w:rPr>
        <w:t>s, remember</w:t>
      </w:r>
      <w:r w:rsidR="003A34C7" w:rsidRPr="0042524D">
        <w:rPr>
          <w:szCs w:val="24"/>
        </w:rPr>
        <w:t xml:space="preserve"> to tell the reader that the</w:t>
      </w:r>
      <w:r w:rsidR="003A34C7" w:rsidRPr="003A34C7">
        <w:rPr>
          <w:szCs w:val="24"/>
        </w:rPr>
        <w:t xml:space="preserve"> emphasis was your own.  Add the parenthetical phrase “(emphasis added)” after the citation. </w:t>
      </w:r>
      <w:r w:rsidR="008A4516">
        <w:rPr>
          <w:szCs w:val="24"/>
        </w:rPr>
        <w:t xml:space="preserve"> </w:t>
      </w:r>
      <w:r w:rsidR="003A34C7" w:rsidRPr="003A34C7">
        <w:rPr>
          <w:szCs w:val="24"/>
        </w:rPr>
        <w:t xml:space="preserve">If the emphasis appears in the original text, you do not need not to include the parenthetical phrase “(emphasis in original).” </w:t>
      </w:r>
      <w:r w:rsidR="008A4516">
        <w:rPr>
          <w:szCs w:val="24"/>
        </w:rPr>
        <w:t xml:space="preserve"> </w:t>
      </w:r>
      <w:r w:rsidR="003A34C7" w:rsidRPr="003A34C7">
        <w:rPr>
          <w:i/>
          <w:szCs w:val="24"/>
        </w:rPr>
        <w:t xml:space="preserve">See </w:t>
      </w:r>
      <w:r w:rsidR="003A34C7" w:rsidRPr="008A4516">
        <w:rPr>
          <w:szCs w:val="24"/>
          <w:u w:val="single"/>
        </w:rPr>
        <w:t>The Bluebook</w:t>
      </w:r>
      <w:r w:rsidR="003A34C7" w:rsidRPr="003A34C7">
        <w:rPr>
          <w:szCs w:val="24"/>
        </w:rPr>
        <w:t>, Rule 5.2.</w:t>
      </w:r>
    </w:p>
    <w:p w14:paraId="38ED81CE" w14:textId="77777777" w:rsidR="003A34C7" w:rsidRDefault="003A34C7" w:rsidP="00AC30A0">
      <w:pPr>
        <w:widowControl/>
        <w:rPr>
          <w:szCs w:val="24"/>
        </w:rPr>
      </w:pPr>
    </w:p>
    <w:sectPr w:rsidR="003A34C7" w:rsidSect="008C723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0AA43" w14:textId="77777777" w:rsidR="00F17B52" w:rsidRDefault="00F17B52" w:rsidP="008C723C">
      <w:r>
        <w:separator/>
      </w:r>
    </w:p>
  </w:endnote>
  <w:endnote w:type="continuationSeparator" w:id="0">
    <w:p w14:paraId="1436D9DB" w14:textId="77777777" w:rsidR="00F17B52" w:rsidRDefault="00F17B52"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A70B" w14:textId="7C89422C" w:rsidR="00C02F14" w:rsidRDefault="00C02F14">
    <w:pPr>
      <w:pStyle w:val="Footer"/>
      <w:jc w:val="center"/>
    </w:pPr>
    <w:r>
      <w:fldChar w:fldCharType="begin"/>
    </w:r>
    <w:r>
      <w:instrText xml:space="preserve"> PAGE   \* MERGEFORMAT </w:instrText>
    </w:r>
    <w:r>
      <w:fldChar w:fldCharType="separate"/>
    </w:r>
    <w:r w:rsidR="007E6779">
      <w:rPr>
        <w:noProof/>
      </w:rPr>
      <w:t>8</w:t>
    </w:r>
    <w:r>
      <w:fldChar w:fldCharType="end"/>
    </w:r>
  </w:p>
  <w:p w14:paraId="5A9C3506" w14:textId="77777777" w:rsidR="00C02F14" w:rsidRDefault="00C0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FB613" w14:textId="77777777" w:rsidR="00F17B52" w:rsidRDefault="00F17B52" w:rsidP="008C723C">
      <w:r>
        <w:separator/>
      </w:r>
    </w:p>
  </w:footnote>
  <w:footnote w:type="continuationSeparator" w:id="0">
    <w:p w14:paraId="0F8813B7" w14:textId="77777777" w:rsidR="00F17B52" w:rsidRDefault="00F17B52" w:rsidP="008C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BC4"/>
    <w:multiLevelType w:val="hybridMultilevel"/>
    <w:tmpl w:val="65B0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4F7"/>
    <w:multiLevelType w:val="hybridMultilevel"/>
    <w:tmpl w:val="2952B218"/>
    <w:lvl w:ilvl="0" w:tplc="8D42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8B4"/>
    <w:multiLevelType w:val="hybridMultilevel"/>
    <w:tmpl w:val="955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3566F"/>
    <w:multiLevelType w:val="hybridMultilevel"/>
    <w:tmpl w:val="26C2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1E4CDE"/>
    <w:multiLevelType w:val="hybridMultilevel"/>
    <w:tmpl w:val="6D5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22CB8"/>
    <w:multiLevelType w:val="hybridMultilevel"/>
    <w:tmpl w:val="C8EEFFFC"/>
    <w:lvl w:ilvl="0" w:tplc="12FCC7A4">
      <w:start w:val="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8519C"/>
    <w:multiLevelType w:val="hybridMultilevel"/>
    <w:tmpl w:val="1F64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DE7610"/>
    <w:multiLevelType w:val="hybridMultilevel"/>
    <w:tmpl w:val="075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D3BC7"/>
    <w:multiLevelType w:val="hybridMultilevel"/>
    <w:tmpl w:val="DD38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5B6B72"/>
    <w:multiLevelType w:val="hybridMultilevel"/>
    <w:tmpl w:val="76F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86333"/>
    <w:multiLevelType w:val="hybridMultilevel"/>
    <w:tmpl w:val="D0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E61782"/>
    <w:multiLevelType w:val="multilevel"/>
    <w:tmpl w:val="0CB00FE6"/>
    <w:lvl w:ilvl="0">
      <w:start w:val="1"/>
      <w:numFmt w:val="bullet"/>
      <w:lvlText w:val="·"/>
      <w:lvlJc w:val="left"/>
      <w:pPr>
        <w:tabs>
          <w:tab w:val="left" w:pos="360"/>
        </w:tabs>
        <w:ind w:left="720"/>
      </w:pPr>
      <w:rPr>
        <w:rFonts w:ascii="Symbol" w:eastAsia="Symbol" w:hAnsi="Symbol"/>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66A76"/>
    <w:multiLevelType w:val="hybridMultilevel"/>
    <w:tmpl w:val="7DD00C82"/>
    <w:lvl w:ilvl="0" w:tplc="4D4814E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B635E"/>
    <w:multiLevelType w:val="hybridMultilevel"/>
    <w:tmpl w:val="A91E5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51CEC"/>
    <w:multiLevelType w:val="hybridMultilevel"/>
    <w:tmpl w:val="91A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0299E"/>
    <w:multiLevelType w:val="hybridMultilevel"/>
    <w:tmpl w:val="A908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6"/>
  </w:num>
  <w:num w:numId="4">
    <w:abstractNumId w:val="1"/>
  </w:num>
  <w:num w:numId="5">
    <w:abstractNumId w:val="16"/>
  </w:num>
  <w:num w:numId="6">
    <w:abstractNumId w:val="35"/>
  </w:num>
  <w:num w:numId="7">
    <w:abstractNumId w:val="13"/>
  </w:num>
  <w:num w:numId="8">
    <w:abstractNumId w:val="12"/>
  </w:num>
  <w:num w:numId="9">
    <w:abstractNumId w:val="15"/>
  </w:num>
  <w:num w:numId="10">
    <w:abstractNumId w:val="17"/>
  </w:num>
  <w:num w:numId="11">
    <w:abstractNumId w:val="5"/>
  </w:num>
  <w:num w:numId="12">
    <w:abstractNumId w:val="32"/>
  </w:num>
  <w:num w:numId="13">
    <w:abstractNumId w:val="7"/>
  </w:num>
  <w:num w:numId="14">
    <w:abstractNumId w:val="6"/>
  </w:num>
  <w:num w:numId="15">
    <w:abstractNumId w:val="23"/>
  </w:num>
  <w:num w:numId="16">
    <w:abstractNumId w:val="31"/>
  </w:num>
  <w:num w:numId="17">
    <w:abstractNumId w:val="25"/>
  </w:num>
  <w:num w:numId="18">
    <w:abstractNumId w:val="10"/>
  </w:num>
  <w:num w:numId="19">
    <w:abstractNumId w:val="11"/>
  </w:num>
  <w:num w:numId="20">
    <w:abstractNumId w:val="34"/>
  </w:num>
  <w:num w:numId="21">
    <w:abstractNumId w:val="33"/>
  </w:num>
  <w:num w:numId="22">
    <w:abstractNumId w:val="27"/>
  </w:num>
  <w:num w:numId="23">
    <w:abstractNumId w:val="22"/>
  </w:num>
  <w:num w:numId="24">
    <w:abstractNumId w:val="18"/>
  </w:num>
  <w:num w:numId="25">
    <w:abstractNumId w:val="8"/>
  </w:num>
  <w:num w:numId="26">
    <w:abstractNumId w:val="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4"/>
  </w:num>
  <w:num w:numId="31">
    <w:abstractNumId w:val="30"/>
  </w:num>
  <w:num w:numId="32">
    <w:abstractNumId w:val="29"/>
  </w:num>
  <w:num w:numId="33">
    <w:abstractNumId w:val="0"/>
  </w:num>
  <w:num w:numId="34">
    <w:abstractNumId w:val="9"/>
  </w:num>
  <w:num w:numId="35">
    <w:abstractNumId w:val="20"/>
  </w:num>
  <w:num w:numId="36">
    <w:abstractNumId w:val="24"/>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3440"/>
    <w:rsid w:val="00014E3A"/>
    <w:rsid w:val="00015CB0"/>
    <w:rsid w:val="00031C06"/>
    <w:rsid w:val="000359C8"/>
    <w:rsid w:val="00040BD4"/>
    <w:rsid w:val="00042E18"/>
    <w:rsid w:val="00047282"/>
    <w:rsid w:val="000553F9"/>
    <w:rsid w:val="000609B1"/>
    <w:rsid w:val="00065E7F"/>
    <w:rsid w:val="00087255"/>
    <w:rsid w:val="00097C14"/>
    <w:rsid w:val="000A0CBF"/>
    <w:rsid w:val="000B1D45"/>
    <w:rsid w:val="000B536B"/>
    <w:rsid w:val="000C2697"/>
    <w:rsid w:val="000C4BF8"/>
    <w:rsid w:val="000D541C"/>
    <w:rsid w:val="000E0F1A"/>
    <w:rsid w:val="000E120F"/>
    <w:rsid w:val="000F5516"/>
    <w:rsid w:val="000F5D17"/>
    <w:rsid w:val="000F6336"/>
    <w:rsid w:val="001015E8"/>
    <w:rsid w:val="0011198F"/>
    <w:rsid w:val="001173F0"/>
    <w:rsid w:val="00117CC3"/>
    <w:rsid w:val="00124938"/>
    <w:rsid w:val="00125983"/>
    <w:rsid w:val="00126AAA"/>
    <w:rsid w:val="00130944"/>
    <w:rsid w:val="0013236B"/>
    <w:rsid w:val="00134E85"/>
    <w:rsid w:val="00136E3B"/>
    <w:rsid w:val="00156BE7"/>
    <w:rsid w:val="0016275E"/>
    <w:rsid w:val="00165ADC"/>
    <w:rsid w:val="001723CB"/>
    <w:rsid w:val="0019439E"/>
    <w:rsid w:val="001A1AA8"/>
    <w:rsid w:val="001A6E5C"/>
    <w:rsid w:val="001B245A"/>
    <w:rsid w:val="001B52A1"/>
    <w:rsid w:val="001B7775"/>
    <w:rsid w:val="001C4061"/>
    <w:rsid w:val="001C537C"/>
    <w:rsid w:val="001E1A86"/>
    <w:rsid w:val="001F7F9D"/>
    <w:rsid w:val="00207465"/>
    <w:rsid w:val="00216694"/>
    <w:rsid w:val="002375D2"/>
    <w:rsid w:val="0025095C"/>
    <w:rsid w:val="00255082"/>
    <w:rsid w:val="00273C29"/>
    <w:rsid w:val="0029583B"/>
    <w:rsid w:val="002966E6"/>
    <w:rsid w:val="00297744"/>
    <w:rsid w:val="002A24C4"/>
    <w:rsid w:val="002C7A28"/>
    <w:rsid w:val="002D0C4F"/>
    <w:rsid w:val="002D31EA"/>
    <w:rsid w:val="002D6E20"/>
    <w:rsid w:val="002D7F19"/>
    <w:rsid w:val="002E03EC"/>
    <w:rsid w:val="002F1327"/>
    <w:rsid w:val="002F608B"/>
    <w:rsid w:val="00306AC3"/>
    <w:rsid w:val="00345767"/>
    <w:rsid w:val="003557CE"/>
    <w:rsid w:val="003566EB"/>
    <w:rsid w:val="00357E73"/>
    <w:rsid w:val="00371F99"/>
    <w:rsid w:val="00373F82"/>
    <w:rsid w:val="00393344"/>
    <w:rsid w:val="00397A31"/>
    <w:rsid w:val="003A34C7"/>
    <w:rsid w:val="003A6558"/>
    <w:rsid w:val="003B2A5B"/>
    <w:rsid w:val="003C4586"/>
    <w:rsid w:val="003E01BB"/>
    <w:rsid w:val="003E225D"/>
    <w:rsid w:val="003E2471"/>
    <w:rsid w:val="00413C49"/>
    <w:rsid w:val="0041443A"/>
    <w:rsid w:val="004167EA"/>
    <w:rsid w:val="0042524D"/>
    <w:rsid w:val="004264CF"/>
    <w:rsid w:val="0043761B"/>
    <w:rsid w:val="00440AE3"/>
    <w:rsid w:val="00444170"/>
    <w:rsid w:val="0047326F"/>
    <w:rsid w:val="004749B5"/>
    <w:rsid w:val="00483FAD"/>
    <w:rsid w:val="00487278"/>
    <w:rsid w:val="0049142E"/>
    <w:rsid w:val="00494042"/>
    <w:rsid w:val="0049696A"/>
    <w:rsid w:val="00496B64"/>
    <w:rsid w:val="004975CA"/>
    <w:rsid w:val="004C02A3"/>
    <w:rsid w:val="004C2BA2"/>
    <w:rsid w:val="004C5DBE"/>
    <w:rsid w:val="004E2F07"/>
    <w:rsid w:val="00503CFE"/>
    <w:rsid w:val="00506CFD"/>
    <w:rsid w:val="00507A5D"/>
    <w:rsid w:val="005164CA"/>
    <w:rsid w:val="005168E8"/>
    <w:rsid w:val="00520365"/>
    <w:rsid w:val="0052325E"/>
    <w:rsid w:val="00527C43"/>
    <w:rsid w:val="00551CA8"/>
    <w:rsid w:val="00557C0A"/>
    <w:rsid w:val="005615FF"/>
    <w:rsid w:val="0057669C"/>
    <w:rsid w:val="005800C7"/>
    <w:rsid w:val="005811A5"/>
    <w:rsid w:val="005865EB"/>
    <w:rsid w:val="005A0036"/>
    <w:rsid w:val="005C5BD3"/>
    <w:rsid w:val="005D18D6"/>
    <w:rsid w:val="005D2630"/>
    <w:rsid w:val="005E003A"/>
    <w:rsid w:val="005E0EDF"/>
    <w:rsid w:val="005F0332"/>
    <w:rsid w:val="005F0A12"/>
    <w:rsid w:val="005F209C"/>
    <w:rsid w:val="005F5D5F"/>
    <w:rsid w:val="005F66E1"/>
    <w:rsid w:val="00605BBE"/>
    <w:rsid w:val="0062161A"/>
    <w:rsid w:val="00623BD3"/>
    <w:rsid w:val="00627250"/>
    <w:rsid w:val="006349B8"/>
    <w:rsid w:val="006442A6"/>
    <w:rsid w:val="00645E2F"/>
    <w:rsid w:val="00665D25"/>
    <w:rsid w:val="00671921"/>
    <w:rsid w:val="006736D0"/>
    <w:rsid w:val="006803C4"/>
    <w:rsid w:val="00686789"/>
    <w:rsid w:val="00686990"/>
    <w:rsid w:val="00687129"/>
    <w:rsid w:val="0069625D"/>
    <w:rsid w:val="006B5EC6"/>
    <w:rsid w:val="006D3335"/>
    <w:rsid w:val="006D3924"/>
    <w:rsid w:val="006D7B71"/>
    <w:rsid w:val="007114C6"/>
    <w:rsid w:val="00723BAD"/>
    <w:rsid w:val="00736B59"/>
    <w:rsid w:val="00737A5A"/>
    <w:rsid w:val="0074074C"/>
    <w:rsid w:val="00741FE1"/>
    <w:rsid w:val="00760C83"/>
    <w:rsid w:val="00771350"/>
    <w:rsid w:val="007749FF"/>
    <w:rsid w:val="00777841"/>
    <w:rsid w:val="0078008A"/>
    <w:rsid w:val="00784CFD"/>
    <w:rsid w:val="007A1E8B"/>
    <w:rsid w:val="007A7A3E"/>
    <w:rsid w:val="007B5B75"/>
    <w:rsid w:val="007C2A01"/>
    <w:rsid w:val="007D4CED"/>
    <w:rsid w:val="007D64DA"/>
    <w:rsid w:val="007E1BC0"/>
    <w:rsid w:val="007E6779"/>
    <w:rsid w:val="007F070E"/>
    <w:rsid w:val="007F2AF0"/>
    <w:rsid w:val="007F69B9"/>
    <w:rsid w:val="00802233"/>
    <w:rsid w:val="00804C8F"/>
    <w:rsid w:val="00805866"/>
    <w:rsid w:val="0082355B"/>
    <w:rsid w:val="00826963"/>
    <w:rsid w:val="00830896"/>
    <w:rsid w:val="008379EC"/>
    <w:rsid w:val="00865044"/>
    <w:rsid w:val="00877A05"/>
    <w:rsid w:val="00893D55"/>
    <w:rsid w:val="008A4516"/>
    <w:rsid w:val="008A58DF"/>
    <w:rsid w:val="008B0DCD"/>
    <w:rsid w:val="008B619D"/>
    <w:rsid w:val="008B7A30"/>
    <w:rsid w:val="008B7BC0"/>
    <w:rsid w:val="008C3F71"/>
    <w:rsid w:val="008C723C"/>
    <w:rsid w:val="008E12BE"/>
    <w:rsid w:val="008E15E5"/>
    <w:rsid w:val="008F0EF1"/>
    <w:rsid w:val="008F52D3"/>
    <w:rsid w:val="009053E3"/>
    <w:rsid w:val="00906DB8"/>
    <w:rsid w:val="00913C68"/>
    <w:rsid w:val="00914B9B"/>
    <w:rsid w:val="0093293F"/>
    <w:rsid w:val="009369B4"/>
    <w:rsid w:val="00937C4C"/>
    <w:rsid w:val="00952269"/>
    <w:rsid w:val="009556D6"/>
    <w:rsid w:val="0096268E"/>
    <w:rsid w:val="009646E7"/>
    <w:rsid w:val="00970E4F"/>
    <w:rsid w:val="0097368E"/>
    <w:rsid w:val="00973F3B"/>
    <w:rsid w:val="00984D82"/>
    <w:rsid w:val="0099600C"/>
    <w:rsid w:val="009A1436"/>
    <w:rsid w:val="009C27B0"/>
    <w:rsid w:val="009C5B08"/>
    <w:rsid w:val="009C616B"/>
    <w:rsid w:val="009E7376"/>
    <w:rsid w:val="009F038C"/>
    <w:rsid w:val="009F05FB"/>
    <w:rsid w:val="00A03DF5"/>
    <w:rsid w:val="00A14DC5"/>
    <w:rsid w:val="00A3243C"/>
    <w:rsid w:val="00A63DC0"/>
    <w:rsid w:val="00A71F73"/>
    <w:rsid w:val="00A8182A"/>
    <w:rsid w:val="00AA66BF"/>
    <w:rsid w:val="00AA7D35"/>
    <w:rsid w:val="00AB2CE6"/>
    <w:rsid w:val="00AB4268"/>
    <w:rsid w:val="00AB5533"/>
    <w:rsid w:val="00AC305B"/>
    <w:rsid w:val="00AC30A0"/>
    <w:rsid w:val="00AC78D8"/>
    <w:rsid w:val="00AD51FB"/>
    <w:rsid w:val="00AE0DAD"/>
    <w:rsid w:val="00AE7F98"/>
    <w:rsid w:val="00AF0A44"/>
    <w:rsid w:val="00B001B4"/>
    <w:rsid w:val="00B022BE"/>
    <w:rsid w:val="00B242FA"/>
    <w:rsid w:val="00B43A8F"/>
    <w:rsid w:val="00B46679"/>
    <w:rsid w:val="00B508E8"/>
    <w:rsid w:val="00B53805"/>
    <w:rsid w:val="00B61133"/>
    <w:rsid w:val="00B6217D"/>
    <w:rsid w:val="00B6694A"/>
    <w:rsid w:val="00B74E07"/>
    <w:rsid w:val="00B80DFE"/>
    <w:rsid w:val="00B82F19"/>
    <w:rsid w:val="00B92F43"/>
    <w:rsid w:val="00B93140"/>
    <w:rsid w:val="00B9686B"/>
    <w:rsid w:val="00BA07D8"/>
    <w:rsid w:val="00BA161C"/>
    <w:rsid w:val="00BA4794"/>
    <w:rsid w:val="00BA5C17"/>
    <w:rsid w:val="00BB4CA9"/>
    <w:rsid w:val="00BC2648"/>
    <w:rsid w:val="00BC60E4"/>
    <w:rsid w:val="00BC66C7"/>
    <w:rsid w:val="00BF08EF"/>
    <w:rsid w:val="00BF4F96"/>
    <w:rsid w:val="00BF6949"/>
    <w:rsid w:val="00C02F14"/>
    <w:rsid w:val="00C05C0B"/>
    <w:rsid w:val="00C15200"/>
    <w:rsid w:val="00C3282F"/>
    <w:rsid w:val="00C3441D"/>
    <w:rsid w:val="00C36A99"/>
    <w:rsid w:val="00C37F0A"/>
    <w:rsid w:val="00C40D9E"/>
    <w:rsid w:val="00C4147B"/>
    <w:rsid w:val="00C4679C"/>
    <w:rsid w:val="00C71480"/>
    <w:rsid w:val="00C92558"/>
    <w:rsid w:val="00CB13A6"/>
    <w:rsid w:val="00CB1B75"/>
    <w:rsid w:val="00CB719D"/>
    <w:rsid w:val="00CC09DF"/>
    <w:rsid w:val="00CC603F"/>
    <w:rsid w:val="00CC65AF"/>
    <w:rsid w:val="00CE3290"/>
    <w:rsid w:val="00CF255D"/>
    <w:rsid w:val="00D056A6"/>
    <w:rsid w:val="00D17DDF"/>
    <w:rsid w:val="00D36B16"/>
    <w:rsid w:val="00D42C3F"/>
    <w:rsid w:val="00D47F4D"/>
    <w:rsid w:val="00D60759"/>
    <w:rsid w:val="00D62B6D"/>
    <w:rsid w:val="00D65782"/>
    <w:rsid w:val="00D65B5A"/>
    <w:rsid w:val="00D92929"/>
    <w:rsid w:val="00DA5493"/>
    <w:rsid w:val="00DC499E"/>
    <w:rsid w:val="00DD2AA9"/>
    <w:rsid w:val="00DD6943"/>
    <w:rsid w:val="00DD7305"/>
    <w:rsid w:val="00DE03EF"/>
    <w:rsid w:val="00DF0733"/>
    <w:rsid w:val="00DF3E3C"/>
    <w:rsid w:val="00DF6671"/>
    <w:rsid w:val="00DF6AB7"/>
    <w:rsid w:val="00E006C3"/>
    <w:rsid w:val="00E07542"/>
    <w:rsid w:val="00E1399C"/>
    <w:rsid w:val="00E30CCD"/>
    <w:rsid w:val="00E34DCF"/>
    <w:rsid w:val="00E4119B"/>
    <w:rsid w:val="00E50291"/>
    <w:rsid w:val="00E55826"/>
    <w:rsid w:val="00E63F25"/>
    <w:rsid w:val="00E71101"/>
    <w:rsid w:val="00E81588"/>
    <w:rsid w:val="00E81BAD"/>
    <w:rsid w:val="00E83E96"/>
    <w:rsid w:val="00E95DE4"/>
    <w:rsid w:val="00E96669"/>
    <w:rsid w:val="00EA6BB9"/>
    <w:rsid w:val="00EC7E36"/>
    <w:rsid w:val="00ED04A4"/>
    <w:rsid w:val="00ED2DA6"/>
    <w:rsid w:val="00ED70A6"/>
    <w:rsid w:val="00EE3D91"/>
    <w:rsid w:val="00EF1B5B"/>
    <w:rsid w:val="00EF68C4"/>
    <w:rsid w:val="00F02054"/>
    <w:rsid w:val="00F066AB"/>
    <w:rsid w:val="00F15FEF"/>
    <w:rsid w:val="00F17B52"/>
    <w:rsid w:val="00F237D0"/>
    <w:rsid w:val="00F23D81"/>
    <w:rsid w:val="00F24386"/>
    <w:rsid w:val="00F25849"/>
    <w:rsid w:val="00F26BB7"/>
    <w:rsid w:val="00F4014E"/>
    <w:rsid w:val="00F44146"/>
    <w:rsid w:val="00F54010"/>
    <w:rsid w:val="00F91CDD"/>
    <w:rsid w:val="00F97D15"/>
    <w:rsid w:val="00FA3550"/>
    <w:rsid w:val="00FA382B"/>
    <w:rsid w:val="00FD090A"/>
    <w:rsid w:val="00FD4F9D"/>
    <w:rsid w:val="00FE0494"/>
    <w:rsid w:val="00FE50AE"/>
    <w:rsid w:val="00FE5C78"/>
    <w:rsid w:val="00FE6D6C"/>
    <w:rsid w:val="00FF1DEF"/>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A41CB98"/>
  <w15:docId w15:val="{DA384C4B-9FEC-4387-861F-C5EFEEEF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2">
    <w:name w:val="heading 2"/>
    <w:basedOn w:val="Normal"/>
    <w:next w:val="Normal"/>
    <w:link w:val="Heading2Char"/>
    <w:uiPriority w:val="9"/>
    <w:semiHidden/>
    <w:unhideWhenUsed/>
    <w:qFormat/>
    <w:rsid w:val="001119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uiPriority w:val="99"/>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styleId="Emphasis">
    <w:name w:val="Emphasis"/>
    <w:basedOn w:val="DefaultParagraphFont"/>
    <w:uiPriority w:val="20"/>
    <w:qFormat/>
    <w:rsid w:val="008F0EF1"/>
    <w:rPr>
      <w:i/>
      <w:iCs/>
    </w:rPr>
  </w:style>
  <w:style w:type="character" w:customStyle="1" w:styleId="term">
    <w:name w:val="term"/>
    <w:basedOn w:val="DefaultParagraphFont"/>
    <w:rsid w:val="00551CA8"/>
  </w:style>
  <w:style w:type="character" w:customStyle="1" w:styleId="Heading2Char">
    <w:name w:val="Heading 2 Char"/>
    <w:basedOn w:val="DefaultParagraphFont"/>
    <w:link w:val="Heading2"/>
    <w:uiPriority w:val="9"/>
    <w:semiHidden/>
    <w:rsid w:val="0011198F"/>
    <w:rPr>
      <w:rFonts w:asciiTheme="majorHAnsi" w:eastAsiaTheme="majorEastAsia" w:hAnsiTheme="majorHAnsi" w:cstheme="majorBidi"/>
      <w:b/>
      <w:bCs/>
      <w:snapToGrid w:val="0"/>
      <w:color w:val="4F81BD" w:themeColor="accent1"/>
      <w:sz w:val="26"/>
      <w:szCs w:val="26"/>
    </w:rPr>
  </w:style>
  <w:style w:type="character" w:styleId="FollowedHyperlink">
    <w:name w:val="FollowedHyperlink"/>
    <w:basedOn w:val="DefaultParagraphFont"/>
    <w:uiPriority w:val="99"/>
    <w:semiHidden/>
    <w:unhideWhenUsed/>
    <w:rsid w:val="00CC09DF"/>
    <w:rPr>
      <w:color w:val="800080" w:themeColor="followedHyperlink"/>
      <w:u w:val="single"/>
    </w:rPr>
  </w:style>
  <w:style w:type="character" w:customStyle="1" w:styleId="counderline">
    <w:name w:val="co_underline"/>
    <w:basedOn w:val="DefaultParagraphFont"/>
    <w:rsid w:val="00527C43"/>
  </w:style>
  <w:style w:type="character" w:customStyle="1" w:styleId="basicfont1">
    <w:name w:val="basicfont1"/>
    <w:rsid w:val="00527C43"/>
    <w:rPr>
      <w:rFonts w:ascii="Verdana" w:hAnsi="Verdana" w:hint="default"/>
    </w:rPr>
  </w:style>
  <w:style w:type="character" w:styleId="CommentReference">
    <w:name w:val="annotation reference"/>
    <w:basedOn w:val="DefaultParagraphFont"/>
    <w:uiPriority w:val="99"/>
    <w:semiHidden/>
    <w:unhideWhenUsed/>
    <w:rsid w:val="008C3F71"/>
    <w:rPr>
      <w:sz w:val="16"/>
      <w:szCs w:val="16"/>
    </w:rPr>
  </w:style>
  <w:style w:type="paragraph" w:styleId="CommentText">
    <w:name w:val="annotation text"/>
    <w:basedOn w:val="Normal"/>
    <w:link w:val="CommentTextChar"/>
    <w:uiPriority w:val="99"/>
    <w:semiHidden/>
    <w:unhideWhenUsed/>
    <w:rsid w:val="008C3F71"/>
    <w:rPr>
      <w:sz w:val="20"/>
    </w:rPr>
  </w:style>
  <w:style w:type="character" w:customStyle="1" w:styleId="CommentTextChar">
    <w:name w:val="Comment Text Char"/>
    <w:basedOn w:val="DefaultParagraphFont"/>
    <w:link w:val="CommentText"/>
    <w:uiPriority w:val="99"/>
    <w:semiHidden/>
    <w:rsid w:val="008C3F71"/>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8C3F71"/>
    <w:rPr>
      <w:b/>
      <w:bCs/>
    </w:rPr>
  </w:style>
  <w:style w:type="character" w:customStyle="1" w:styleId="CommentSubjectChar">
    <w:name w:val="Comment Subject Char"/>
    <w:basedOn w:val="CommentTextChar"/>
    <w:link w:val="CommentSubject"/>
    <w:uiPriority w:val="99"/>
    <w:semiHidden/>
    <w:rsid w:val="008C3F71"/>
    <w:rPr>
      <w:rFonts w:ascii="Times New Roman" w:eastAsia="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1581">
      <w:bodyDiv w:val="1"/>
      <w:marLeft w:val="0"/>
      <w:marRight w:val="0"/>
      <w:marTop w:val="0"/>
      <w:marBottom w:val="0"/>
      <w:divBdr>
        <w:top w:val="none" w:sz="0" w:space="0" w:color="auto"/>
        <w:left w:val="none" w:sz="0" w:space="0" w:color="auto"/>
        <w:bottom w:val="none" w:sz="0" w:space="0" w:color="auto"/>
        <w:right w:val="none" w:sz="0" w:space="0" w:color="auto"/>
      </w:divBdr>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18907896">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673069497">
      <w:bodyDiv w:val="1"/>
      <w:marLeft w:val="0"/>
      <w:marRight w:val="0"/>
      <w:marTop w:val="0"/>
      <w:marBottom w:val="0"/>
      <w:divBdr>
        <w:top w:val="none" w:sz="0" w:space="0" w:color="auto"/>
        <w:left w:val="none" w:sz="0" w:space="0" w:color="auto"/>
        <w:bottom w:val="none" w:sz="0" w:space="0" w:color="auto"/>
        <w:right w:val="none" w:sz="0" w:space="0" w:color="auto"/>
      </w:divBdr>
      <w:divsChild>
        <w:div w:id="133807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68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133479584">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cticaltypography.com/bold-or-italic.html" TargetMode="External"/><Relationship Id="rId3" Type="http://schemas.openxmlformats.org/officeDocument/2006/relationships/settings" Target="settings.xml"/><Relationship Id="rId7" Type="http://schemas.openxmlformats.org/officeDocument/2006/relationships/hyperlink" Target="https://www.publiccounsel.net/blog/cafl-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23537</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Andrew Cohen</cp:lastModifiedBy>
  <cp:revision>6</cp:revision>
  <cp:lastPrinted>2019-10-24T15:01:00Z</cp:lastPrinted>
  <dcterms:created xsi:type="dcterms:W3CDTF">2020-05-12T18:37:00Z</dcterms:created>
  <dcterms:modified xsi:type="dcterms:W3CDTF">2020-05-14T16:31:00Z</dcterms:modified>
</cp:coreProperties>
</file>