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14B" w:rsidRPr="004774B2" w:rsidRDefault="0018114B" w:rsidP="0018114B">
      <w:pPr>
        <w:pStyle w:val="Title"/>
        <w:outlineLvl w:val="0"/>
        <w:rPr>
          <w:rFonts w:ascii="Times New Roman" w:hAnsi="Times New Roman"/>
          <w:color w:val="000000"/>
          <w:sz w:val="36"/>
          <w:szCs w:val="36"/>
        </w:rPr>
      </w:pPr>
      <w:bookmarkStart w:id="0" w:name="_GoBack"/>
      <w:bookmarkEnd w:id="0"/>
      <w:r w:rsidRPr="004774B2">
        <w:rPr>
          <w:rFonts w:ascii="Times New Roman" w:hAnsi="Times New Roman"/>
          <w:i w:val="0"/>
          <w:sz w:val="36"/>
          <w:szCs w:val="36"/>
        </w:rPr>
        <w:t>The Commonwealth of Massachusetts</w:t>
      </w:r>
    </w:p>
    <w:p w:rsidR="0018114B" w:rsidRPr="004774B2" w:rsidRDefault="0018114B" w:rsidP="0018114B">
      <w:pPr>
        <w:pStyle w:val="Subtitle"/>
        <w:rPr>
          <w:rFonts w:ascii="Times New Roman" w:hAnsi="Times New Roman"/>
          <w:i w:val="0"/>
          <w:sz w:val="36"/>
          <w:szCs w:val="36"/>
        </w:rPr>
      </w:pPr>
      <w:r w:rsidRPr="004774B2">
        <w:rPr>
          <w:rFonts w:ascii="Times New Roman" w:hAnsi="Times New Roman"/>
          <w:i w:val="0"/>
          <w:sz w:val="36"/>
          <w:szCs w:val="36"/>
        </w:rPr>
        <w:t>Committee for Public Counsel Services</w:t>
      </w:r>
    </w:p>
    <w:p w:rsidR="0018114B" w:rsidRPr="004774B2" w:rsidRDefault="0018114B" w:rsidP="0018114B">
      <w:pPr>
        <w:pStyle w:val="Subtitle"/>
        <w:outlineLvl w:val="0"/>
        <w:rPr>
          <w:rFonts w:ascii="Times New Roman" w:hAnsi="Times New Roman"/>
          <w:sz w:val="28"/>
          <w:szCs w:val="28"/>
        </w:rPr>
      </w:pPr>
      <w:r w:rsidRPr="004774B2">
        <w:rPr>
          <w:rFonts w:ascii="Times New Roman" w:hAnsi="Times New Roman"/>
          <w:sz w:val="28"/>
          <w:szCs w:val="28"/>
        </w:rPr>
        <w:t>44 Bromfield Street, Boston, MA  02108-4909</w:t>
      </w:r>
    </w:p>
    <w:p w:rsidR="0018114B" w:rsidRPr="004774B2" w:rsidRDefault="0018114B" w:rsidP="0018114B">
      <w:pPr>
        <w:pStyle w:val="Subtitle"/>
        <w:jc w:val="left"/>
        <w:rPr>
          <w:rFonts w:ascii="Palace Script MT" w:hAnsi="Palace Script MT"/>
          <w:sz w:val="28"/>
          <w:szCs w:val="28"/>
        </w:rPr>
      </w:pPr>
    </w:p>
    <w:p w:rsidR="0018114B" w:rsidRPr="00EC5AED" w:rsidRDefault="0018114B" w:rsidP="0018114B">
      <w:pPr>
        <w:pStyle w:val="Subtitle"/>
        <w:jc w:val="left"/>
        <w:rPr>
          <w:rFonts w:ascii="Palace Script MT" w:hAnsi="Palace Script MT"/>
          <w:sz w:val="16"/>
        </w:rPr>
      </w:pPr>
    </w:p>
    <w:p w:rsidR="0018114B" w:rsidRPr="00EC5AED" w:rsidRDefault="0018114B" w:rsidP="0018114B">
      <w:pPr>
        <w:pStyle w:val="Subtitle"/>
        <w:tabs>
          <w:tab w:val="left" w:pos="2880"/>
          <w:tab w:val="left" w:pos="3600"/>
        </w:tabs>
        <w:jc w:val="left"/>
        <w:rPr>
          <w:rFonts w:ascii="Times New Roman" w:hAnsi="Times New Roman"/>
          <w:i w:val="0"/>
          <w:sz w:val="16"/>
          <w:szCs w:val="16"/>
        </w:rPr>
      </w:pPr>
      <w:r w:rsidRPr="00EC5AED">
        <w:rPr>
          <w:rFonts w:ascii="Times New Roman" w:hAnsi="Times New Roman"/>
          <w:i w:val="0"/>
          <w:sz w:val="16"/>
          <w:szCs w:val="16"/>
        </w:rPr>
        <w:tab/>
      </w:r>
      <w:r w:rsidRPr="00EC5AED">
        <w:rPr>
          <w:rFonts w:ascii="Times New Roman" w:hAnsi="Times New Roman"/>
          <w:i w:val="0"/>
          <w:sz w:val="16"/>
          <w:szCs w:val="16"/>
        </w:rPr>
        <w:tab/>
      </w:r>
      <w:r w:rsidRPr="00EC5AED">
        <w:rPr>
          <w:rFonts w:ascii="Times New Roman" w:hAnsi="Times New Roman"/>
          <w:i w:val="0"/>
          <w:sz w:val="16"/>
          <w:szCs w:val="16"/>
        </w:rPr>
        <w:tab/>
        <w:t>TEL:  (617) 482-6212</w:t>
      </w:r>
    </w:p>
    <w:p w:rsidR="0018114B" w:rsidRPr="00EC5AED" w:rsidRDefault="0018114B" w:rsidP="0018114B">
      <w:pPr>
        <w:pStyle w:val="Subtitle"/>
        <w:tabs>
          <w:tab w:val="left" w:pos="2880"/>
          <w:tab w:val="left" w:pos="3600"/>
        </w:tabs>
        <w:jc w:val="left"/>
        <w:rPr>
          <w:rFonts w:ascii="Times New Roman" w:hAnsi="Times New Roman"/>
          <w:i w:val="0"/>
          <w:sz w:val="16"/>
          <w:szCs w:val="16"/>
        </w:rPr>
      </w:pPr>
      <w:r w:rsidRPr="00EC5AED">
        <w:rPr>
          <w:rFonts w:ascii="Times New Roman" w:hAnsi="Times New Roman"/>
          <w:sz w:val="16"/>
          <w:szCs w:val="16"/>
        </w:rPr>
        <w:t xml:space="preserve">                    </w:t>
      </w:r>
      <w:r w:rsidRPr="00EC5AED">
        <w:rPr>
          <w:rFonts w:ascii="Times New Roman" w:hAnsi="Times New Roman"/>
          <w:sz w:val="16"/>
          <w:szCs w:val="16"/>
        </w:rPr>
        <w:tab/>
      </w:r>
      <w:r w:rsidRPr="00EC5AED">
        <w:rPr>
          <w:rFonts w:ascii="Times New Roman" w:hAnsi="Times New Roman"/>
          <w:sz w:val="16"/>
          <w:szCs w:val="16"/>
        </w:rPr>
        <w:tab/>
        <w:t xml:space="preserve">     </w:t>
      </w:r>
      <w:r w:rsidRPr="00EC5AED">
        <w:rPr>
          <w:rFonts w:ascii="Times New Roman" w:hAnsi="Times New Roman"/>
          <w:sz w:val="16"/>
          <w:szCs w:val="16"/>
        </w:rPr>
        <w:tab/>
      </w:r>
      <w:r w:rsidRPr="00EC5AED">
        <w:rPr>
          <w:rFonts w:ascii="Times New Roman" w:hAnsi="Times New Roman"/>
          <w:i w:val="0"/>
          <w:sz w:val="16"/>
          <w:szCs w:val="16"/>
        </w:rPr>
        <w:t>FAX: (617) 988-8495</w:t>
      </w:r>
      <w:r w:rsidRPr="00EC5AED">
        <w:rPr>
          <w:rFonts w:ascii="Times New Roman" w:hAnsi="Times New Roman"/>
          <w:sz w:val="16"/>
          <w:szCs w:val="16"/>
        </w:rPr>
        <w:tab/>
      </w:r>
      <w:r w:rsidRPr="00EC5AED">
        <w:rPr>
          <w:rFonts w:ascii="Times New Roman" w:hAnsi="Times New Roman"/>
          <w:sz w:val="16"/>
          <w:szCs w:val="16"/>
        </w:rPr>
        <w:tab/>
      </w:r>
      <w:r w:rsidRPr="00EC5AED">
        <w:rPr>
          <w:rFonts w:ascii="Times New Roman" w:hAnsi="Times New Roman"/>
          <w:i w:val="0"/>
          <w:sz w:val="16"/>
          <w:szCs w:val="16"/>
        </w:rPr>
        <w:t xml:space="preserve">   </w:t>
      </w:r>
      <w:r w:rsidRPr="00EC5AED">
        <w:rPr>
          <w:rFonts w:ascii="Script MT Bold" w:hAnsi="Script MT Bold"/>
          <w:sz w:val="16"/>
          <w:szCs w:val="16"/>
        </w:rPr>
        <w:t xml:space="preserve">    </w:t>
      </w:r>
      <w:r w:rsidRPr="00EC5AED">
        <w:rPr>
          <w:rFonts w:ascii="Script MT Bold" w:hAnsi="Script MT Bold"/>
          <w:i w:val="0"/>
          <w:sz w:val="16"/>
          <w:szCs w:val="16"/>
        </w:rPr>
        <w:t xml:space="preserve">                                 </w:t>
      </w:r>
    </w:p>
    <w:p w:rsidR="0018114B" w:rsidRPr="00EC5AED" w:rsidRDefault="0018114B" w:rsidP="0018114B">
      <w:pPr>
        <w:pStyle w:val="Subtitle"/>
        <w:tabs>
          <w:tab w:val="left" w:pos="720"/>
          <w:tab w:val="left" w:pos="2880"/>
          <w:tab w:val="left" w:pos="3600"/>
          <w:tab w:val="left" w:pos="5040"/>
          <w:tab w:val="left" w:pos="7200"/>
          <w:tab w:val="right" w:pos="9360"/>
        </w:tabs>
        <w:jc w:val="left"/>
        <w:rPr>
          <w:rFonts w:ascii="Times New Roman" w:hAnsi="Times New Roman"/>
          <w:i w:val="0"/>
          <w:position w:val="2"/>
          <w:sz w:val="16"/>
          <w:szCs w:val="16"/>
        </w:rPr>
      </w:pPr>
      <w:r w:rsidRPr="00EC5AED">
        <w:rPr>
          <w:rFonts w:ascii="Times New Roman" w:hAnsi="Times New Roman"/>
          <w:i w:val="0"/>
          <w:position w:val="2"/>
          <w:sz w:val="16"/>
          <w:szCs w:val="16"/>
        </w:rPr>
        <w:tab/>
      </w:r>
      <w:r w:rsidRPr="00EC5AED">
        <w:rPr>
          <w:rFonts w:ascii="Times New Roman" w:hAnsi="Times New Roman"/>
          <w:i w:val="0"/>
          <w:position w:val="2"/>
          <w:sz w:val="16"/>
          <w:szCs w:val="16"/>
        </w:rPr>
        <w:tab/>
      </w:r>
      <w:r w:rsidRPr="00EC5AED">
        <w:rPr>
          <w:rFonts w:ascii="Times New Roman" w:hAnsi="Times New Roman"/>
          <w:i w:val="0"/>
          <w:position w:val="2"/>
          <w:sz w:val="16"/>
          <w:szCs w:val="16"/>
        </w:rPr>
        <w:tab/>
      </w:r>
      <w:r w:rsidRPr="00EC5AED">
        <w:rPr>
          <w:rFonts w:ascii="Times New Roman" w:hAnsi="Times New Roman"/>
          <w:i w:val="0"/>
          <w:position w:val="2"/>
          <w:sz w:val="16"/>
          <w:szCs w:val="16"/>
        </w:rPr>
        <w:tab/>
      </w:r>
      <w:r w:rsidRPr="00EC5AED">
        <w:rPr>
          <w:rFonts w:ascii="Times New Roman" w:hAnsi="Times New Roman"/>
          <w:i w:val="0"/>
          <w:position w:val="2"/>
          <w:sz w:val="16"/>
          <w:szCs w:val="16"/>
        </w:rPr>
        <w:tab/>
        <w:t xml:space="preserve">       </w:t>
      </w:r>
      <w:r w:rsidRPr="00EC5AED">
        <w:rPr>
          <w:rFonts w:ascii="Times New Roman" w:hAnsi="Times New Roman"/>
          <w:i w:val="0"/>
          <w:position w:val="2"/>
          <w:sz w:val="18"/>
        </w:rPr>
        <w:t xml:space="preserve">             </w:t>
      </w:r>
    </w:p>
    <w:p w:rsidR="0018114B" w:rsidRPr="00EC5AED" w:rsidRDefault="0018114B" w:rsidP="0018114B">
      <w:pPr>
        <w:pStyle w:val="Subtitle"/>
        <w:tabs>
          <w:tab w:val="left" w:pos="720"/>
          <w:tab w:val="left" w:pos="5040"/>
          <w:tab w:val="left" w:pos="6120"/>
          <w:tab w:val="left" w:pos="6840"/>
        </w:tabs>
        <w:ind w:right="-1350"/>
        <w:jc w:val="left"/>
        <w:rPr>
          <w:rFonts w:ascii="Times New Roman" w:hAnsi="Times New Roman"/>
          <w:i w:val="0"/>
          <w:position w:val="2"/>
          <w:sz w:val="16"/>
          <w:szCs w:val="16"/>
        </w:rPr>
      </w:pPr>
      <w:r>
        <w:rPr>
          <w:rFonts w:ascii="Times New Roman" w:hAnsi="Times New Roman"/>
          <w:i w:val="0"/>
          <w:position w:val="2"/>
          <w:sz w:val="16"/>
          <w:szCs w:val="16"/>
        </w:rPr>
        <w:t>ANTHONY BENEDETTI</w:t>
      </w:r>
      <w:r w:rsidRPr="00EC5AED">
        <w:rPr>
          <w:rFonts w:ascii="Times New Roman" w:hAnsi="Times New Roman"/>
          <w:i w:val="0"/>
          <w:position w:val="2"/>
          <w:sz w:val="16"/>
          <w:szCs w:val="16"/>
        </w:rPr>
        <w:tab/>
        <w:t xml:space="preserve">               </w:t>
      </w:r>
      <w:r>
        <w:rPr>
          <w:rFonts w:ascii="Times New Roman" w:hAnsi="Times New Roman"/>
          <w:i w:val="0"/>
          <w:position w:val="2"/>
          <w:sz w:val="16"/>
          <w:szCs w:val="16"/>
        </w:rPr>
        <w:tab/>
      </w:r>
      <w:r w:rsidRPr="00EC5AED">
        <w:rPr>
          <w:rFonts w:ascii="Times New Roman" w:hAnsi="Times New Roman"/>
          <w:i w:val="0"/>
          <w:position w:val="2"/>
          <w:sz w:val="16"/>
          <w:szCs w:val="16"/>
        </w:rPr>
        <w:t>MICHAEL DSIDA</w:t>
      </w:r>
      <w:r w:rsidRPr="00EC5AED">
        <w:rPr>
          <w:rFonts w:ascii="Times New Roman" w:hAnsi="Times New Roman"/>
          <w:i w:val="0"/>
          <w:position w:val="2"/>
          <w:sz w:val="18"/>
          <w:szCs w:val="18"/>
        </w:rPr>
        <w:tab/>
      </w:r>
    </w:p>
    <w:p w:rsidR="0018114B" w:rsidRDefault="0018114B" w:rsidP="0018114B">
      <w:pPr>
        <w:pStyle w:val="Subtitle"/>
        <w:tabs>
          <w:tab w:val="left" w:pos="720"/>
          <w:tab w:val="left" w:pos="5040"/>
          <w:tab w:val="left" w:pos="6120"/>
          <w:tab w:val="left" w:pos="6840"/>
        </w:tabs>
        <w:jc w:val="left"/>
        <w:rPr>
          <w:rFonts w:ascii="Times New Roman" w:hAnsi="Times New Roman"/>
          <w:i w:val="0"/>
          <w:position w:val="2"/>
          <w:sz w:val="18"/>
          <w:szCs w:val="18"/>
        </w:rPr>
      </w:pPr>
      <w:r w:rsidRPr="00EC5AED">
        <w:rPr>
          <w:rFonts w:ascii="Times New Roman" w:hAnsi="Times New Roman"/>
          <w:i w:val="0"/>
          <w:position w:val="2"/>
          <w:sz w:val="16"/>
          <w:szCs w:val="16"/>
        </w:rPr>
        <w:t>CHIEF COUNSEL</w:t>
      </w:r>
      <w:r w:rsidRPr="00EC5AED">
        <w:rPr>
          <w:rFonts w:ascii="Times New Roman" w:hAnsi="Times New Roman"/>
          <w:i w:val="0"/>
          <w:position w:val="2"/>
          <w:sz w:val="18"/>
          <w:szCs w:val="18"/>
        </w:rPr>
        <w:tab/>
      </w:r>
      <w:r w:rsidRPr="00EC5AED">
        <w:rPr>
          <w:rFonts w:ascii="Times New Roman" w:hAnsi="Times New Roman"/>
          <w:i w:val="0"/>
          <w:position w:val="2"/>
          <w:sz w:val="18"/>
          <w:szCs w:val="18"/>
        </w:rPr>
        <w:tab/>
      </w:r>
      <w:r w:rsidRPr="00EC5AED">
        <w:rPr>
          <w:rFonts w:ascii="Times New Roman" w:hAnsi="Times New Roman"/>
          <w:i w:val="0"/>
          <w:position w:val="2"/>
          <w:sz w:val="16"/>
          <w:szCs w:val="16"/>
        </w:rPr>
        <w:t>DEPUTY CHIEF COUNSEL</w:t>
      </w:r>
      <w:r>
        <w:rPr>
          <w:rFonts w:ascii="Times New Roman" w:hAnsi="Times New Roman"/>
          <w:i w:val="0"/>
          <w:position w:val="2"/>
          <w:sz w:val="18"/>
          <w:szCs w:val="18"/>
        </w:rPr>
        <w:t xml:space="preserve">      </w:t>
      </w:r>
    </w:p>
    <w:p w:rsidR="0018114B" w:rsidRPr="00EC5AED" w:rsidRDefault="0018114B" w:rsidP="0018114B">
      <w:pPr>
        <w:pStyle w:val="Subtitle"/>
        <w:tabs>
          <w:tab w:val="left" w:pos="720"/>
          <w:tab w:val="left" w:pos="5040"/>
          <w:tab w:val="left" w:pos="6120"/>
          <w:tab w:val="left" w:pos="6840"/>
        </w:tabs>
        <w:jc w:val="left"/>
        <w:rPr>
          <w:rFonts w:ascii="Times New Roman" w:hAnsi="Times New Roman"/>
          <w:i w:val="0"/>
          <w:position w:val="2"/>
          <w:sz w:val="16"/>
          <w:szCs w:val="16"/>
        </w:rPr>
      </w:pPr>
      <w:r>
        <w:rPr>
          <w:rFonts w:ascii="Times New Roman" w:hAnsi="Times New Roman"/>
          <w:i w:val="0"/>
          <w:position w:val="2"/>
          <w:sz w:val="18"/>
          <w:szCs w:val="18"/>
        </w:rPr>
        <w:tab/>
      </w:r>
      <w:r>
        <w:rPr>
          <w:rFonts w:ascii="Times New Roman" w:hAnsi="Times New Roman"/>
          <w:i w:val="0"/>
          <w:position w:val="2"/>
          <w:sz w:val="18"/>
          <w:szCs w:val="18"/>
        </w:rPr>
        <w:tab/>
      </w:r>
      <w:r>
        <w:rPr>
          <w:rFonts w:ascii="Times New Roman" w:hAnsi="Times New Roman"/>
          <w:i w:val="0"/>
          <w:position w:val="2"/>
          <w:sz w:val="18"/>
          <w:szCs w:val="18"/>
        </w:rPr>
        <w:tab/>
      </w:r>
      <w:r w:rsidRPr="00EC5AED">
        <w:rPr>
          <w:rFonts w:ascii="Times New Roman" w:hAnsi="Times New Roman"/>
          <w:i w:val="0"/>
          <w:position w:val="2"/>
          <w:sz w:val="16"/>
          <w:szCs w:val="16"/>
        </w:rPr>
        <w:t xml:space="preserve">CHILDREN AND FAMILY LAW </w:t>
      </w:r>
      <w:r>
        <w:rPr>
          <w:rFonts w:ascii="Times New Roman" w:hAnsi="Times New Roman"/>
          <w:i w:val="0"/>
          <w:position w:val="2"/>
          <w:sz w:val="16"/>
          <w:szCs w:val="16"/>
        </w:rPr>
        <w:t>DIVISION</w:t>
      </w:r>
      <w:r w:rsidRPr="00EC5AED">
        <w:rPr>
          <w:rFonts w:ascii="Times New Roman" w:hAnsi="Times New Roman"/>
          <w:i w:val="0"/>
          <w:position w:val="2"/>
          <w:sz w:val="18"/>
          <w:szCs w:val="18"/>
        </w:rPr>
        <w:t xml:space="preserve">                 </w:t>
      </w:r>
      <w:r w:rsidRPr="00EC5AED">
        <w:rPr>
          <w:rFonts w:ascii="Times New Roman" w:hAnsi="Times New Roman"/>
          <w:i w:val="0"/>
          <w:position w:val="2"/>
          <w:sz w:val="16"/>
          <w:szCs w:val="16"/>
        </w:rPr>
        <w:t xml:space="preserve">          </w:t>
      </w:r>
    </w:p>
    <w:p w:rsidR="0018114B" w:rsidRPr="00EC5AED" w:rsidRDefault="0018114B" w:rsidP="0018114B">
      <w:pPr>
        <w:pStyle w:val="Subtitle"/>
        <w:tabs>
          <w:tab w:val="left" w:pos="720"/>
          <w:tab w:val="left" w:pos="5040"/>
          <w:tab w:val="left" w:pos="6840"/>
        </w:tabs>
        <w:ind w:right="-1350"/>
        <w:jc w:val="left"/>
        <w:rPr>
          <w:rFonts w:ascii="Times New Roman" w:hAnsi="Times New Roman"/>
          <w:i w:val="0"/>
          <w:position w:val="2"/>
          <w:sz w:val="16"/>
          <w:szCs w:val="16"/>
        </w:rPr>
      </w:pPr>
      <w:r w:rsidRPr="00EC5AED">
        <w:rPr>
          <w:rFonts w:ascii="Times New Roman" w:hAnsi="Times New Roman"/>
          <w:i w:val="0"/>
          <w:position w:val="2"/>
          <w:sz w:val="16"/>
          <w:szCs w:val="16"/>
        </w:rPr>
        <w:tab/>
      </w:r>
      <w:r w:rsidRPr="00EC5AED">
        <w:rPr>
          <w:rFonts w:ascii="Times New Roman" w:hAnsi="Times New Roman"/>
          <w:i w:val="0"/>
          <w:position w:val="2"/>
          <w:sz w:val="16"/>
          <w:szCs w:val="16"/>
        </w:rPr>
        <w:tab/>
      </w:r>
      <w:r w:rsidRPr="00EC5AED">
        <w:rPr>
          <w:rFonts w:ascii="Times New Roman" w:hAnsi="Times New Roman"/>
          <w:i w:val="0"/>
          <w:position w:val="2"/>
          <w:sz w:val="16"/>
          <w:szCs w:val="16"/>
        </w:rPr>
        <w:tab/>
      </w:r>
      <w:r w:rsidRPr="00EC5AED">
        <w:rPr>
          <w:rFonts w:ascii="Times New Roman" w:hAnsi="Times New Roman"/>
          <w:i w:val="0"/>
          <w:position w:val="2"/>
          <w:sz w:val="16"/>
          <w:szCs w:val="16"/>
        </w:rPr>
        <w:tab/>
      </w:r>
      <w:r w:rsidRPr="00EC5AED">
        <w:rPr>
          <w:rFonts w:ascii="Times New Roman" w:hAnsi="Times New Roman"/>
          <w:i w:val="0"/>
          <w:position w:val="2"/>
          <w:sz w:val="16"/>
          <w:szCs w:val="16"/>
        </w:rPr>
        <w:tab/>
        <w:t xml:space="preserve">  </w:t>
      </w:r>
    </w:p>
    <w:p w:rsidR="0018114B" w:rsidRPr="00EC5AED" w:rsidRDefault="0018114B" w:rsidP="0018114B">
      <w:pPr>
        <w:pStyle w:val="Subtitle"/>
        <w:tabs>
          <w:tab w:val="left" w:pos="720"/>
          <w:tab w:val="left" w:pos="5040"/>
          <w:tab w:val="left" w:pos="6840"/>
        </w:tabs>
        <w:ind w:right="-1350"/>
        <w:jc w:val="both"/>
        <w:rPr>
          <w:rFonts w:ascii="Times New Roman" w:hAnsi="Times New Roman"/>
          <w:i w:val="0"/>
          <w:position w:val="2"/>
          <w:sz w:val="16"/>
          <w:szCs w:val="16"/>
        </w:rPr>
      </w:pPr>
      <w:r w:rsidRPr="00EC5AED">
        <w:rPr>
          <w:rFonts w:ascii="Times New Roman" w:hAnsi="Times New Roman"/>
          <w:i w:val="0"/>
          <w:position w:val="2"/>
          <w:sz w:val="16"/>
          <w:szCs w:val="16"/>
        </w:rPr>
        <w:tab/>
      </w:r>
      <w:r w:rsidRPr="00EC5AED">
        <w:rPr>
          <w:rFonts w:ascii="Times New Roman" w:hAnsi="Times New Roman"/>
          <w:i w:val="0"/>
          <w:position w:val="2"/>
          <w:sz w:val="16"/>
          <w:szCs w:val="16"/>
        </w:rPr>
        <w:tab/>
      </w:r>
      <w:r w:rsidRPr="00EC5AED">
        <w:rPr>
          <w:rFonts w:ascii="Times New Roman" w:hAnsi="Times New Roman"/>
          <w:i w:val="0"/>
          <w:position w:val="2"/>
          <w:sz w:val="16"/>
          <w:szCs w:val="16"/>
        </w:rPr>
        <w:tab/>
        <w:t xml:space="preserve">              </w:t>
      </w:r>
    </w:p>
    <w:p w:rsidR="0018114B" w:rsidRPr="004774B2" w:rsidRDefault="00107AF6">
      <w:pPr>
        <w:rPr>
          <w:b/>
          <w:sz w:val="28"/>
          <w:szCs w:val="28"/>
        </w:rPr>
      </w:pPr>
      <w:r w:rsidRPr="004774B2">
        <w:rPr>
          <w:b/>
          <w:sz w:val="28"/>
          <w:szCs w:val="28"/>
        </w:rPr>
        <w:t>A Guide to</w:t>
      </w:r>
      <w:r w:rsidR="0018114B" w:rsidRPr="004774B2">
        <w:rPr>
          <w:b/>
          <w:sz w:val="28"/>
          <w:szCs w:val="28"/>
        </w:rPr>
        <w:t xml:space="preserve"> The New DCF Foster Care Review Policy</w:t>
      </w:r>
      <w:r w:rsidR="00C63C12" w:rsidRPr="004774B2">
        <w:rPr>
          <w:b/>
          <w:sz w:val="28"/>
          <w:szCs w:val="28"/>
        </w:rPr>
        <w:t xml:space="preserve"> and Regulations</w:t>
      </w:r>
    </w:p>
    <w:p w:rsidR="00107AF6" w:rsidRPr="00107AF6" w:rsidRDefault="00107AF6">
      <w:pPr>
        <w:rPr>
          <w:i/>
        </w:rPr>
      </w:pPr>
      <w:r>
        <w:rPr>
          <w:i/>
        </w:rPr>
        <w:t>By Hannah Baker, CAFL Training Rotation Attorney</w:t>
      </w:r>
      <w:r w:rsidR="00EA5AEC">
        <w:rPr>
          <w:i/>
        </w:rPr>
        <w:t>, CPCS Training Department</w:t>
      </w:r>
    </w:p>
    <w:p w:rsidR="00C63C12" w:rsidRDefault="00DA3F14">
      <w:r>
        <w:t>On March 4</w:t>
      </w:r>
      <w:r w:rsidRPr="00DA3F14">
        <w:rPr>
          <w:vertAlign w:val="superscript"/>
        </w:rPr>
        <w:t>th</w:t>
      </w:r>
      <w:r>
        <w:t>, 2019, DCF substantially edited its Foster Care Review</w:t>
      </w:r>
      <w:r w:rsidR="0093656B">
        <w:t xml:space="preserve"> (FCR)</w:t>
      </w:r>
      <w:r>
        <w:t xml:space="preserve"> Policy.</w:t>
      </w:r>
      <w:r w:rsidR="00C63C12">
        <w:t xml:space="preserve"> In September 2019, DCF promulgated new regulations. The regulations and policy </w:t>
      </w:r>
      <w:r w:rsidR="006F7455">
        <w:t>now a</w:t>
      </w:r>
      <w:r w:rsidR="00EA5AEC">
        <w:t>lign</w:t>
      </w:r>
      <w:r w:rsidR="00C63C12">
        <w:t>, alt</w:t>
      </w:r>
      <w:r w:rsidR="006F7455">
        <w:t>hough the policy is more detailed</w:t>
      </w:r>
      <w:r w:rsidR="00C63C12">
        <w:t>.</w:t>
      </w:r>
    </w:p>
    <w:p w:rsidR="00C63C12" w:rsidRDefault="00DA3F14">
      <w:r>
        <w:t xml:space="preserve">The new policy </w:t>
      </w:r>
      <w:r w:rsidR="00EA5AEC">
        <w:t>and regulations are</w:t>
      </w:r>
      <w:r>
        <w:t xml:space="preserve"> clearer </w:t>
      </w:r>
      <w:r w:rsidR="00C63C12">
        <w:t>than the old one</w:t>
      </w:r>
      <w:r w:rsidR="00EA5AEC">
        <w:t xml:space="preserve">s </w:t>
      </w:r>
      <w:r w:rsidR="00C63C12">
        <w:t xml:space="preserve"> </w:t>
      </w:r>
      <w:r>
        <w:t>in many ways</w:t>
      </w:r>
      <w:r w:rsidR="00EA5AEC">
        <w:t>. They lay</w:t>
      </w:r>
      <w:r>
        <w:t xml:space="preserve"> out the</w:t>
      </w:r>
      <w:r w:rsidR="007D0411">
        <w:t xml:space="preserve"> </w:t>
      </w:r>
      <w:r>
        <w:t xml:space="preserve">responsibilities of different DCF actors for </w:t>
      </w:r>
      <w:r w:rsidR="006F7455">
        <w:t>different aspects of the review more precisely than the previous policy.</w:t>
      </w:r>
      <w:r>
        <w:t xml:space="preserve"> The policy also</w:t>
      </w:r>
      <w:r w:rsidR="007D0411">
        <w:t xml:space="preserve"> makes some </w:t>
      </w:r>
      <w:r w:rsidR="00BE6BE8">
        <w:t>significant</w:t>
      </w:r>
      <w:r w:rsidR="007D0411">
        <w:t xml:space="preserve"> changes, including </w:t>
      </w:r>
      <w:r>
        <w:t>eliminating the system of rating each party on compliance with action plan tasks. The</w:t>
      </w:r>
      <w:r w:rsidR="006F7455">
        <w:t>se</w:t>
      </w:r>
      <w:r>
        <w:t xml:space="preserve"> changes </w:t>
      </w:r>
      <w:r w:rsidR="00107AF6">
        <w:t xml:space="preserve">could be good or bad for </w:t>
      </w:r>
      <w:r w:rsidR="0093656B">
        <w:t xml:space="preserve">our clients, depending on many factors. </w:t>
      </w:r>
    </w:p>
    <w:p w:rsidR="0093656B" w:rsidRDefault="007D0411">
      <w:r>
        <w:t xml:space="preserve">Below is a </w:t>
      </w:r>
      <w:r w:rsidR="00193562">
        <w:t xml:space="preserve">list of the most substantive changes, followed by a </w:t>
      </w:r>
      <w:r>
        <w:t>brief guide to the condu</w:t>
      </w:r>
      <w:r w:rsidR="00EA5AEC">
        <w:t>ct of FCRs under the new regulations and policy. Please note that this guide concerns only FCRs. The newly issued 110 C.M.R. 6.00 also covers Permanency Hearings. The former regulation 6.00 also covered action plans, which are now technically not covered by any regulation. CPCS will issue separate guidance on the new Permanency Hearing regulations.</w:t>
      </w:r>
    </w:p>
    <w:p w:rsidR="00193562" w:rsidRDefault="00193562">
      <w:pPr>
        <w:rPr>
          <w:b/>
        </w:rPr>
      </w:pPr>
      <w:r>
        <w:rPr>
          <w:b/>
        </w:rPr>
        <w:t>Important Changes:</w:t>
      </w:r>
    </w:p>
    <w:p w:rsidR="00193562" w:rsidRDefault="00193562" w:rsidP="0020382D">
      <w:pPr>
        <w:pStyle w:val="ListParagraph"/>
        <w:numPr>
          <w:ilvl w:val="0"/>
          <w:numId w:val="6"/>
        </w:numPr>
        <w:rPr>
          <w:rFonts w:cs="Times New Roman"/>
        </w:rPr>
      </w:pPr>
      <w:r w:rsidRPr="0020382D">
        <w:rPr>
          <w:rFonts w:cs="Times New Roman"/>
        </w:rPr>
        <w:t xml:space="preserve">The </w:t>
      </w:r>
      <w:r w:rsidR="00EA5AEC">
        <w:rPr>
          <w:rFonts w:cs="Times New Roman"/>
        </w:rPr>
        <w:t>new regulations and policy (collectively “the new documentation”) make</w:t>
      </w:r>
      <w:r w:rsidRPr="0020382D">
        <w:rPr>
          <w:rFonts w:cs="Times New Roman"/>
        </w:rPr>
        <w:t xml:space="preserve"> attorneys for parents mandatory invitees—previously only attorneys for children were considered mandatory.</w:t>
      </w:r>
      <w:r w:rsidR="00EA5AEC">
        <w:rPr>
          <w:rFonts w:cs="Times New Roman"/>
        </w:rPr>
        <w:t xml:space="preserve"> 110 C.M.R. 6.02(4)(j)</w:t>
      </w:r>
    </w:p>
    <w:p w:rsidR="003230F8" w:rsidRDefault="003230F8" w:rsidP="0020382D">
      <w:pPr>
        <w:pStyle w:val="ListParagraph"/>
        <w:numPr>
          <w:ilvl w:val="0"/>
          <w:numId w:val="6"/>
        </w:numPr>
        <w:rPr>
          <w:rFonts w:cs="Times New Roman"/>
        </w:rPr>
      </w:pPr>
      <w:r>
        <w:rPr>
          <w:rFonts w:cs="Times New Roman"/>
        </w:rPr>
        <w:t xml:space="preserve">The new </w:t>
      </w:r>
      <w:r w:rsidR="00EA5AEC">
        <w:rPr>
          <w:rFonts w:cs="Times New Roman"/>
        </w:rPr>
        <w:t xml:space="preserve">documentation </w:t>
      </w:r>
      <w:r>
        <w:rPr>
          <w:rFonts w:cs="Times New Roman"/>
        </w:rPr>
        <w:t xml:space="preserve">lays out much more detailed procedures for scheduling the review, contacting attendees, and making </w:t>
      </w:r>
      <w:r w:rsidR="0018114B">
        <w:rPr>
          <w:rFonts w:cs="Times New Roman"/>
        </w:rPr>
        <w:t>accommodations</w:t>
      </w:r>
      <w:r>
        <w:rPr>
          <w:rFonts w:cs="Times New Roman"/>
        </w:rPr>
        <w:t xml:space="preserve">. It also </w:t>
      </w:r>
      <w:r w:rsidR="00BE6BE8">
        <w:rPr>
          <w:rFonts w:cs="Times New Roman"/>
        </w:rPr>
        <w:t>explains</w:t>
      </w:r>
      <w:r>
        <w:rPr>
          <w:rFonts w:cs="Times New Roman"/>
        </w:rPr>
        <w:t xml:space="preserve"> specifically which DCF personnel are responsible for which aspect of preparing for the review.</w:t>
      </w:r>
      <w:r w:rsidR="00EA5AEC">
        <w:rPr>
          <w:rFonts w:cs="Times New Roman"/>
        </w:rPr>
        <w:t xml:space="preserve"> 110 C.M.R. 6.02(5-8)</w:t>
      </w:r>
    </w:p>
    <w:p w:rsidR="003230F8" w:rsidRDefault="008A0592" w:rsidP="0020382D">
      <w:pPr>
        <w:pStyle w:val="ListParagraph"/>
        <w:numPr>
          <w:ilvl w:val="0"/>
          <w:numId w:val="6"/>
        </w:numPr>
        <w:rPr>
          <w:rFonts w:cs="Times New Roman"/>
        </w:rPr>
      </w:pPr>
      <w:r>
        <w:rPr>
          <w:rFonts w:cs="Times New Roman"/>
        </w:rPr>
        <w:t>The determinations have changed. The previous syst</w:t>
      </w:r>
      <w:r w:rsidR="00BE6BE8">
        <w:rPr>
          <w:rFonts w:cs="Times New Roman"/>
        </w:rPr>
        <w:t>em</w:t>
      </w:r>
      <w:r w:rsidR="004774B2">
        <w:rPr>
          <w:rFonts w:cs="Times New Roman"/>
        </w:rPr>
        <w:t xml:space="preserve"> rated</w:t>
      </w:r>
      <w:r>
        <w:rPr>
          <w:rFonts w:cs="Times New Roman"/>
        </w:rPr>
        <w:t xml:space="preserve"> each party on </w:t>
      </w:r>
      <w:r>
        <w:t xml:space="preserve">their “full” “partial” or “non-compliance” with their action/service plan tasks. </w:t>
      </w:r>
      <w:r>
        <w:rPr>
          <w:rFonts w:cs="Times New Roman"/>
        </w:rPr>
        <w:t xml:space="preserve"> The new policy removes this rating and replaces it with a different </w:t>
      </w:r>
      <w:r w:rsidR="00EA5AEC">
        <w:rPr>
          <w:rFonts w:cs="Times New Roman"/>
        </w:rPr>
        <w:t>set of questions for each party. 110 C.M.R. 6.02(9).</w:t>
      </w:r>
    </w:p>
    <w:p w:rsidR="008A0592" w:rsidRDefault="008A0592" w:rsidP="008A0592">
      <w:pPr>
        <w:pStyle w:val="ListParagraph"/>
        <w:numPr>
          <w:ilvl w:val="1"/>
          <w:numId w:val="6"/>
        </w:numPr>
        <w:rPr>
          <w:rFonts w:cs="Times New Roman"/>
        </w:rPr>
      </w:pPr>
      <w:r>
        <w:rPr>
          <w:rFonts w:cs="Times New Roman"/>
        </w:rPr>
        <w:t>Parents are rated on whether they have participated in the action plan and on whether they have made “observable change</w:t>
      </w:r>
      <w:r w:rsidR="00EA5AEC">
        <w:rPr>
          <w:rFonts w:cs="Times New Roman"/>
        </w:rPr>
        <w:t>.</w:t>
      </w:r>
      <w:r>
        <w:rPr>
          <w:rFonts w:cs="Times New Roman"/>
        </w:rPr>
        <w:t>”</w:t>
      </w:r>
      <w:r w:rsidR="00EA5AEC">
        <w:rPr>
          <w:rFonts w:cs="Times New Roman"/>
        </w:rPr>
        <w:t xml:space="preserve"> 110 C.M.R. 6.02(9)(d)(1)</w:t>
      </w:r>
    </w:p>
    <w:p w:rsidR="008A0592" w:rsidRDefault="008A0592" w:rsidP="008A0592">
      <w:pPr>
        <w:pStyle w:val="ListParagraph"/>
        <w:numPr>
          <w:ilvl w:val="1"/>
          <w:numId w:val="6"/>
        </w:numPr>
        <w:rPr>
          <w:rFonts w:cs="Times New Roman"/>
        </w:rPr>
      </w:pPr>
      <w:r>
        <w:rPr>
          <w:rFonts w:cs="Times New Roman"/>
        </w:rPr>
        <w:lastRenderedPageBreak/>
        <w:t>Placement providers are rated simply on whether they have “fulfilled expecta</w:t>
      </w:r>
      <w:r w:rsidR="00EA5AEC">
        <w:rPr>
          <w:rFonts w:cs="Times New Roman"/>
        </w:rPr>
        <w:t>tions to meet the child’s needs.” 110 C.M.R. 6.02</w:t>
      </w:r>
      <w:r w:rsidR="006218F6">
        <w:rPr>
          <w:rFonts w:cs="Times New Roman"/>
        </w:rPr>
        <w:t>(9)(d)(5)</w:t>
      </w:r>
    </w:p>
    <w:p w:rsidR="008A0592" w:rsidRPr="008A0592" w:rsidRDefault="008A0592" w:rsidP="008A0592">
      <w:pPr>
        <w:pStyle w:val="ListParagraph"/>
        <w:numPr>
          <w:ilvl w:val="1"/>
          <w:numId w:val="6"/>
        </w:numPr>
        <w:rPr>
          <w:rFonts w:cs="Times New Roman"/>
        </w:rPr>
      </w:pPr>
      <w:r>
        <w:rPr>
          <w:rFonts w:cs="Times New Roman"/>
        </w:rPr>
        <w:t xml:space="preserve">DCF is rated on whether it has </w:t>
      </w:r>
      <w:r>
        <w:t>“</w:t>
      </w:r>
      <w:r w:rsidRPr="000732B8">
        <w:t>completed the necessary steps to address the needs of the family</w:t>
      </w:r>
      <w:r>
        <w:t>.”</w:t>
      </w:r>
      <w:r w:rsidR="006218F6">
        <w:t xml:space="preserve"> </w:t>
      </w:r>
      <w:r w:rsidR="006218F6">
        <w:rPr>
          <w:rFonts w:cs="Times New Roman"/>
        </w:rPr>
        <w:t>110 C.M.R. 6.02(9)(d)(3)</w:t>
      </w:r>
    </w:p>
    <w:p w:rsidR="008A0592" w:rsidRPr="0020382D" w:rsidRDefault="008A0592" w:rsidP="008A0592">
      <w:pPr>
        <w:pStyle w:val="ListParagraph"/>
        <w:numPr>
          <w:ilvl w:val="0"/>
          <w:numId w:val="6"/>
        </w:numPr>
        <w:rPr>
          <w:rFonts w:cs="Times New Roman"/>
        </w:rPr>
      </w:pPr>
      <w:r>
        <w:t xml:space="preserve">A new section of determinations has been added to reflect the federal requirement that foster children be cared for </w:t>
      </w:r>
      <w:r w:rsidR="006F7455">
        <w:t xml:space="preserve">in accordance </w:t>
      </w:r>
      <w:r>
        <w:t>with the “reasonable and prudent parent standard.”</w:t>
      </w:r>
      <w:r w:rsidR="006218F6">
        <w:t xml:space="preserve"> </w:t>
      </w:r>
      <w:r w:rsidR="006218F6">
        <w:rPr>
          <w:rFonts w:cs="Times New Roman"/>
        </w:rPr>
        <w:t>110 C.M.R. 6.02(9)(f)</w:t>
      </w:r>
    </w:p>
    <w:p w:rsidR="005A0863" w:rsidRPr="00355F37" w:rsidRDefault="003C0D6F">
      <w:pPr>
        <w:rPr>
          <w:b/>
          <w:u w:val="single"/>
        </w:rPr>
      </w:pPr>
      <w:r w:rsidRPr="00355F37">
        <w:rPr>
          <w:b/>
          <w:u w:val="single"/>
        </w:rPr>
        <w:t>Before the Review</w:t>
      </w:r>
    </w:p>
    <w:p w:rsidR="003C0D6F" w:rsidRPr="00355F37" w:rsidRDefault="003C0D6F" w:rsidP="00355F37">
      <w:pPr>
        <w:rPr>
          <w:b/>
        </w:rPr>
      </w:pPr>
      <w:r w:rsidRPr="00355F37">
        <w:rPr>
          <w:b/>
        </w:rPr>
        <w:t>What is a Foster Care Review?</w:t>
      </w:r>
    </w:p>
    <w:p w:rsidR="00555328" w:rsidRPr="00355F37" w:rsidRDefault="000732B8" w:rsidP="00355F37">
      <w:pPr>
        <w:rPr>
          <w:b/>
        </w:rPr>
      </w:pPr>
      <w:r w:rsidRPr="000732B8">
        <w:t xml:space="preserve">A Foster Care Review </w:t>
      </w:r>
      <w:r w:rsidR="00355F37">
        <w:t xml:space="preserve">(FCR) </w:t>
      </w:r>
      <w:r w:rsidRPr="000732B8">
        <w:t xml:space="preserve">is a meeting held every six months to assess progress in a case. </w:t>
      </w:r>
      <w:r w:rsidR="006F7455">
        <w:t>It is an administrative DCF proceeding, not a court date</w:t>
      </w:r>
      <w:r w:rsidRPr="000732B8">
        <w:t>.</w:t>
      </w:r>
      <w:r w:rsidR="00355F37">
        <w:rPr>
          <w:b/>
        </w:rPr>
        <w:t xml:space="preserve"> </w:t>
      </w:r>
      <w:r w:rsidR="00355F37">
        <w:t xml:space="preserve">FCRs </w:t>
      </w:r>
      <w:r w:rsidR="00555328" w:rsidRPr="000732B8">
        <w:t>are run by the Foster Care Review Unit (FCRU), a theoretically independent unit within DCF.</w:t>
      </w:r>
    </w:p>
    <w:p w:rsidR="000732B8" w:rsidRPr="00355F37" w:rsidRDefault="00E803B8" w:rsidP="00355F37">
      <w:pPr>
        <w:rPr>
          <w:b/>
        </w:rPr>
      </w:pPr>
      <w:r w:rsidRPr="00355F37">
        <w:rPr>
          <w:rFonts w:cs="Times New Roman"/>
        </w:rPr>
        <w:t xml:space="preserve">According to the </w:t>
      </w:r>
      <w:r w:rsidR="00355F37">
        <w:rPr>
          <w:rFonts w:cs="Times New Roman"/>
        </w:rPr>
        <w:t xml:space="preserve">new </w:t>
      </w:r>
      <w:r w:rsidRPr="00355F37">
        <w:rPr>
          <w:rFonts w:cs="Times New Roman"/>
        </w:rPr>
        <w:t>policy, the purpose of a review is</w:t>
      </w:r>
      <w:r w:rsidR="000732B8" w:rsidRPr="00355F37">
        <w:rPr>
          <w:rFonts w:cs="Times New Roman"/>
        </w:rPr>
        <w:t xml:space="preserve"> “to assess the progress being made to address the reason(s) for the Department’s involvement with the family” and</w:t>
      </w:r>
      <w:r w:rsidRPr="00355F37">
        <w:rPr>
          <w:rFonts w:cs="Times New Roman"/>
        </w:rPr>
        <w:t xml:space="preserve"> </w:t>
      </w:r>
      <w:r w:rsidR="000732B8" w:rsidRPr="00355F37">
        <w:rPr>
          <w:rFonts w:cs="Times New Roman"/>
        </w:rPr>
        <w:t>“to examine and make recommendations regarding efforts to safely achieve permanency for the child, youth, or young adult</w:t>
      </w:r>
      <w:r w:rsidR="00BE6BE8">
        <w:rPr>
          <w:rFonts w:cs="Times New Roman"/>
        </w:rPr>
        <w:t>.</w:t>
      </w:r>
      <w:r w:rsidR="000732B8" w:rsidRPr="00355F37">
        <w:rPr>
          <w:rFonts w:cs="Times New Roman"/>
        </w:rPr>
        <w:t>”</w:t>
      </w:r>
    </w:p>
    <w:p w:rsidR="003C0D6F" w:rsidRPr="00355F37" w:rsidRDefault="003C0D6F" w:rsidP="00355F37">
      <w:pPr>
        <w:rPr>
          <w:b/>
        </w:rPr>
      </w:pPr>
      <w:r w:rsidRPr="00355F37">
        <w:rPr>
          <w:b/>
        </w:rPr>
        <w:t>How are they scheduled?</w:t>
      </w:r>
    </w:p>
    <w:p w:rsidR="007C0A5B" w:rsidRPr="00355F37" w:rsidRDefault="00355F37" w:rsidP="00355F37">
      <w:pPr>
        <w:rPr>
          <w:rFonts w:cs="Times New Roman"/>
        </w:rPr>
      </w:pPr>
      <w:r>
        <w:rPr>
          <w:rFonts w:cs="Times New Roman"/>
        </w:rPr>
        <w:t>The policy</w:t>
      </w:r>
      <w:r w:rsidR="00644B26">
        <w:rPr>
          <w:rFonts w:cs="Times New Roman"/>
        </w:rPr>
        <w:t xml:space="preserve"> (§ II.C)</w:t>
      </w:r>
      <w:r>
        <w:rPr>
          <w:rFonts w:cs="Times New Roman"/>
        </w:rPr>
        <w:t xml:space="preserve"> states that before the review, t</w:t>
      </w:r>
      <w:r w:rsidR="007C0A5B" w:rsidRPr="00355F37">
        <w:rPr>
          <w:rFonts w:cs="Times New Roman"/>
        </w:rPr>
        <w:t xml:space="preserve">he case worker </w:t>
      </w:r>
      <w:r>
        <w:rPr>
          <w:rFonts w:cs="Times New Roman"/>
        </w:rPr>
        <w:t>should fill</w:t>
      </w:r>
      <w:r w:rsidR="007C0A5B" w:rsidRPr="00355F37">
        <w:rPr>
          <w:rFonts w:cs="Times New Roman"/>
        </w:rPr>
        <w:t xml:space="preserve"> out a</w:t>
      </w:r>
      <w:r w:rsidR="006F7455">
        <w:rPr>
          <w:rFonts w:cs="Times New Roman"/>
        </w:rPr>
        <w:t>n electronic</w:t>
      </w:r>
      <w:r w:rsidR="007C0A5B" w:rsidRPr="00355F37">
        <w:rPr>
          <w:rFonts w:cs="Times New Roman"/>
        </w:rPr>
        <w:t xml:space="preserve"> calendar with t</w:t>
      </w:r>
      <w:r>
        <w:rPr>
          <w:rFonts w:cs="Times New Roman"/>
        </w:rPr>
        <w:t xml:space="preserve">he availability of each invitee, including parents and attorneys. </w:t>
      </w:r>
      <w:r w:rsidR="007C0A5B" w:rsidRPr="00355F37">
        <w:rPr>
          <w:rFonts w:cs="Times New Roman"/>
        </w:rPr>
        <w:t>C&amp;P court dates in the case are blocked off automatically</w:t>
      </w:r>
      <w:r w:rsidR="006F19E7">
        <w:rPr>
          <w:rFonts w:cs="Times New Roman"/>
        </w:rPr>
        <w:t>.</w:t>
      </w:r>
      <w:r w:rsidR="006F7455">
        <w:rPr>
          <w:rFonts w:cs="Times New Roman"/>
        </w:rPr>
        <w:t xml:space="preserve"> The FCRU then schedules the review.</w:t>
      </w:r>
    </w:p>
    <w:p w:rsidR="007C0A5B" w:rsidRPr="00355F37" w:rsidRDefault="00355F37" w:rsidP="00355F37">
      <w:pPr>
        <w:rPr>
          <w:rFonts w:cs="Times New Roman"/>
        </w:rPr>
      </w:pPr>
      <w:r>
        <w:rPr>
          <w:rFonts w:cs="Times New Roman"/>
        </w:rPr>
        <w:t>Clients are us</w:t>
      </w:r>
      <w:r w:rsidR="006F19E7">
        <w:rPr>
          <w:rFonts w:cs="Times New Roman"/>
        </w:rPr>
        <w:t xml:space="preserve">ually notified by letter. DCF </w:t>
      </w:r>
      <w:r w:rsidR="006F7455">
        <w:rPr>
          <w:rFonts w:cs="Times New Roman"/>
        </w:rPr>
        <w:t>previously notified</w:t>
      </w:r>
      <w:r w:rsidR="006F19E7">
        <w:rPr>
          <w:rFonts w:cs="Times New Roman"/>
        </w:rPr>
        <w:t xml:space="preserve"> attorneys by letter or email, but they have recently introduced an “attorney portal” system. Under this new system, attorneys representing parents or children will log in to the portal to enter their unavailability and view information about their foster care reviews.</w:t>
      </w:r>
      <w:r w:rsidR="006218F6">
        <w:rPr>
          <w:rFonts w:cs="Times New Roman"/>
        </w:rPr>
        <w:t xml:space="preserve"> </w:t>
      </w:r>
      <w:r w:rsidR="00CA00AF">
        <w:rPr>
          <w:rFonts w:cs="Times New Roman"/>
        </w:rPr>
        <w:t xml:space="preserve">You can see DCF’s how-to guide for the portal at this link: </w:t>
      </w:r>
      <w:r w:rsidR="00CA00AF" w:rsidRPr="00CA00AF">
        <w:rPr>
          <w:rFonts w:cs="Times New Roman"/>
        </w:rPr>
        <w:t>https://www.mass.gov/how-to/attorney-connect-portal</w:t>
      </w:r>
    </w:p>
    <w:p w:rsidR="000732B8" w:rsidRPr="00355F37" w:rsidRDefault="000732B8" w:rsidP="00355F37">
      <w:pPr>
        <w:rPr>
          <w:rFonts w:cs="Times New Roman"/>
          <w:i/>
        </w:rPr>
      </w:pPr>
      <w:r w:rsidRPr="00355F37">
        <w:rPr>
          <w:rFonts w:cs="Times New Roman"/>
          <w:i/>
          <w:u w:val="single"/>
        </w:rPr>
        <w:t>In practice</w:t>
      </w:r>
      <w:r w:rsidRPr="00355F37">
        <w:rPr>
          <w:rFonts w:cs="Times New Roman"/>
          <w:i/>
        </w:rPr>
        <w:t xml:space="preserve"> </w:t>
      </w:r>
      <w:r w:rsidR="00797E96">
        <w:rPr>
          <w:rFonts w:cs="Times New Roman"/>
          <w:i/>
        </w:rPr>
        <w:t>some offices may not follow</w:t>
      </w:r>
      <w:r w:rsidRPr="00355F37">
        <w:rPr>
          <w:rFonts w:cs="Times New Roman"/>
          <w:i/>
        </w:rPr>
        <w:t xml:space="preserve"> the policy and invite you to a pre-scheduled review at the last minute.</w:t>
      </w:r>
    </w:p>
    <w:p w:rsidR="003C0D6F" w:rsidRPr="00355F37" w:rsidRDefault="003C0D6F" w:rsidP="00355F37">
      <w:pPr>
        <w:rPr>
          <w:b/>
        </w:rPr>
      </w:pPr>
      <w:r w:rsidRPr="00355F37">
        <w:rPr>
          <w:b/>
        </w:rPr>
        <w:t>In which cases should I expect a Foster Care Review?</w:t>
      </w:r>
    </w:p>
    <w:p w:rsidR="00D40F22" w:rsidRPr="00355F37" w:rsidRDefault="007D0411" w:rsidP="00355F37">
      <w:pPr>
        <w:rPr>
          <w:rFonts w:cs="Times New Roman"/>
        </w:rPr>
      </w:pPr>
      <w:r>
        <w:rPr>
          <w:rFonts w:cs="Times New Roman"/>
        </w:rPr>
        <w:t>The review occurs every six months w</w:t>
      </w:r>
      <w:r w:rsidR="00D40F22" w:rsidRPr="00355F37">
        <w:rPr>
          <w:rFonts w:cs="Times New Roman"/>
        </w:rPr>
        <w:t xml:space="preserve">hen a child, or young adult under age 22, is in </w:t>
      </w:r>
      <w:r w:rsidR="003008F1">
        <w:rPr>
          <w:rFonts w:cs="Times New Roman"/>
        </w:rPr>
        <w:t>placement.</w:t>
      </w:r>
    </w:p>
    <w:p w:rsidR="00D40F22" w:rsidRPr="00355F37" w:rsidRDefault="00AA00B7" w:rsidP="00355F37">
      <w:pPr>
        <w:rPr>
          <w:rFonts w:cs="Times New Roman"/>
        </w:rPr>
      </w:pPr>
      <w:r w:rsidRPr="00355F37">
        <w:rPr>
          <w:rFonts w:cs="Times New Roman"/>
          <w:u w:val="single"/>
        </w:rPr>
        <w:t>In placement</w:t>
      </w:r>
      <w:r w:rsidRPr="00355F37">
        <w:rPr>
          <w:rFonts w:cs="Times New Roman"/>
        </w:rPr>
        <w:t xml:space="preserve"> means in DCF custody through a court order (C&amp;P, CRA, PYA, or voluntary placement) AND living outside of the home. This means that a review should not be scheduled if all the children are placed at home.</w:t>
      </w:r>
    </w:p>
    <w:p w:rsidR="003C0D6F" w:rsidRPr="007206F3" w:rsidRDefault="003C0D6F" w:rsidP="00772C7A">
      <w:pPr>
        <w:rPr>
          <w:b/>
        </w:rPr>
      </w:pPr>
      <w:r w:rsidRPr="007206F3">
        <w:rPr>
          <w:b/>
        </w:rPr>
        <w:t>Who is in charge at the Foster Care Review?</w:t>
      </w:r>
    </w:p>
    <w:p w:rsidR="009F4518" w:rsidRPr="00772C7A" w:rsidRDefault="00555328" w:rsidP="00772C7A">
      <w:pPr>
        <w:rPr>
          <w:rFonts w:cs="Times New Roman"/>
        </w:rPr>
      </w:pPr>
      <w:r w:rsidRPr="00772C7A">
        <w:rPr>
          <w:rFonts w:cs="Times New Roman"/>
        </w:rPr>
        <w:lastRenderedPageBreak/>
        <w:t>A Case Reviewer</w:t>
      </w:r>
      <w:r w:rsidR="00772C7A">
        <w:rPr>
          <w:rFonts w:cs="Times New Roman"/>
        </w:rPr>
        <w:t xml:space="preserve"> from the FCRU runs the review</w:t>
      </w:r>
      <w:r w:rsidRPr="00772C7A">
        <w:rPr>
          <w:rFonts w:cs="Times New Roman"/>
        </w:rPr>
        <w:t>, but</w:t>
      </w:r>
      <w:r w:rsidR="003008F1">
        <w:rPr>
          <w:rFonts w:cs="Times New Roman"/>
        </w:rPr>
        <w:t xml:space="preserve"> </w:t>
      </w:r>
      <w:r w:rsidRPr="00772C7A">
        <w:rPr>
          <w:rFonts w:cs="Times New Roman"/>
        </w:rPr>
        <w:t xml:space="preserve">shares decision-making </w:t>
      </w:r>
      <w:r w:rsidR="00D24065" w:rsidRPr="00772C7A">
        <w:rPr>
          <w:rFonts w:cs="Times New Roman"/>
        </w:rPr>
        <w:t>responsibility</w:t>
      </w:r>
      <w:r w:rsidRPr="00772C7A">
        <w:rPr>
          <w:rFonts w:cs="Times New Roman"/>
        </w:rPr>
        <w:t xml:space="preserve"> </w:t>
      </w:r>
      <w:r w:rsidR="00D24065" w:rsidRPr="00772C7A">
        <w:rPr>
          <w:rFonts w:cs="Times New Roman"/>
        </w:rPr>
        <w:t>with</w:t>
      </w:r>
      <w:r w:rsidRPr="00772C7A">
        <w:rPr>
          <w:rFonts w:cs="Times New Roman"/>
        </w:rPr>
        <w:t xml:space="preserve"> the other me</w:t>
      </w:r>
      <w:r w:rsidR="003008F1">
        <w:rPr>
          <w:rFonts w:cs="Times New Roman"/>
        </w:rPr>
        <w:t>mbers of a</w:t>
      </w:r>
      <w:r w:rsidR="00772C7A">
        <w:rPr>
          <w:rFonts w:cs="Times New Roman"/>
        </w:rPr>
        <w:t xml:space="preserve"> three-person panel. The panel consists of the reviewer, the “second party reviewer” and the volunteer. </w:t>
      </w:r>
    </w:p>
    <w:p w:rsidR="009F4518" w:rsidRPr="00772C7A" w:rsidRDefault="00772C7A" w:rsidP="00772C7A">
      <w:pPr>
        <w:rPr>
          <w:rFonts w:cs="Times New Roman"/>
        </w:rPr>
      </w:pPr>
      <w:r>
        <w:rPr>
          <w:rFonts w:cs="Times New Roman"/>
        </w:rPr>
        <w:t xml:space="preserve">The </w:t>
      </w:r>
      <w:r w:rsidR="009F4518" w:rsidRPr="00772C7A">
        <w:rPr>
          <w:rFonts w:cs="Times New Roman"/>
        </w:rPr>
        <w:t>Second Party Reviewer</w:t>
      </w:r>
      <w:r>
        <w:rPr>
          <w:rFonts w:cs="Times New Roman"/>
        </w:rPr>
        <w:t xml:space="preserve"> is a</w:t>
      </w:r>
      <w:r w:rsidR="009F4518" w:rsidRPr="00772C7A">
        <w:rPr>
          <w:rFonts w:cs="Times New Roman"/>
        </w:rPr>
        <w:t xml:space="preserve"> manager or supervisor from the area office</w:t>
      </w:r>
      <w:r>
        <w:rPr>
          <w:rFonts w:cs="Times New Roman"/>
        </w:rPr>
        <w:t xml:space="preserve"> where the review is being held. They are not assigned to the case in question.</w:t>
      </w:r>
      <w:r w:rsidR="00CE42A3">
        <w:rPr>
          <w:rFonts w:cs="Times New Roman"/>
        </w:rPr>
        <w:t xml:space="preserve"> According to the regulations, the second party may be a non-DCF-employee</w:t>
      </w:r>
      <w:r w:rsidR="007206F3">
        <w:rPr>
          <w:rFonts w:cs="Times New Roman"/>
        </w:rPr>
        <w:t>, but the policy does not allow for this option</w:t>
      </w:r>
      <w:r w:rsidR="00CE42A3">
        <w:rPr>
          <w:rFonts w:cs="Times New Roman"/>
        </w:rPr>
        <w:t>.</w:t>
      </w:r>
      <w:r>
        <w:rPr>
          <w:rFonts w:cs="Times New Roman"/>
        </w:rPr>
        <w:t xml:space="preserve"> </w:t>
      </w:r>
      <w:r w:rsidR="006F7455">
        <w:rPr>
          <w:rFonts w:cs="Times New Roman"/>
        </w:rPr>
        <w:t xml:space="preserve">110 C.M.R. 6.02(3)(b). </w:t>
      </w:r>
      <w:r w:rsidRPr="00772C7A">
        <w:rPr>
          <w:rFonts w:cs="Times New Roman"/>
          <w:i/>
        </w:rPr>
        <w:t xml:space="preserve">While in theory the second party brings balance to the review, </w:t>
      </w:r>
      <w:r w:rsidR="00BE6BE8">
        <w:rPr>
          <w:rFonts w:cs="Times New Roman"/>
          <w:i/>
        </w:rPr>
        <w:t>they typically</w:t>
      </w:r>
      <w:r w:rsidR="00222D7A">
        <w:rPr>
          <w:rFonts w:cs="Times New Roman"/>
          <w:i/>
        </w:rPr>
        <w:t xml:space="preserve"> </w:t>
      </w:r>
      <w:r w:rsidRPr="00772C7A">
        <w:rPr>
          <w:rFonts w:cs="Times New Roman"/>
          <w:i/>
        </w:rPr>
        <w:t xml:space="preserve"> back the decisions of DCF.</w:t>
      </w:r>
    </w:p>
    <w:p w:rsidR="009F4518" w:rsidRDefault="00BE15AE" w:rsidP="00215120">
      <w:pPr>
        <w:rPr>
          <w:rFonts w:cs="Times New Roman"/>
        </w:rPr>
      </w:pPr>
      <w:r>
        <w:rPr>
          <w:rFonts w:cs="Times New Roman"/>
        </w:rPr>
        <w:t xml:space="preserve">The volunteer is a person from outside of DCF, recruited and trained by the Department. </w:t>
      </w:r>
      <w:r w:rsidR="003008F1">
        <w:rPr>
          <w:rFonts w:cs="Times New Roman"/>
        </w:rPr>
        <w:t>According to both the regulations and the policy,</w:t>
      </w:r>
      <w:r w:rsidRPr="00772C7A">
        <w:rPr>
          <w:rFonts w:cs="Times New Roman"/>
        </w:rPr>
        <w:t xml:space="preserve"> though only sometimes in practice, </w:t>
      </w:r>
      <w:r>
        <w:rPr>
          <w:rFonts w:cs="Times New Roman"/>
        </w:rPr>
        <w:t xml:space="preserve">they are </w:t>
      </w:r>
      <w:r w:rsidR="003008F1">
        <w:rPr>
          <w:rFonts w:cs="Times New Roman"/>
        </w:rPr>
        <w:t xml:space="preserve">demographically </w:t>
      </w:r>
      <w:r w:rsidRPr="00772C7A">
        <w:rPr>
          <w:rFonts w:cs="Times New Roman"/>
        </w:rPr>
        <w:t>representative of the community served.</w:t>
      </w:r>
      <w:r w:rsidR="00215120">
        <w:rPr>
          <w:rFonts w:cs="Times New Roman"/>
        </w:rPr>
        <w:t xml:space="preserve"> Policy § I (paragraph 5); </w:t>
      </w:r>
      <w:r w:rsidR="00215120" w:rsidRPr="00215120">
        <w:rPr>
          <w:rFonts w:cs="Times New Roman"/>
        </w:rPr>
        <w:t xml:space="preserve">110 </w:t>
      </w:r>
      <w:r w:rsidR="00215120">
        <w:rPr>
          <w:rFonts w:cs="Times New Roman"/>
        </w:rPr>
        <w:t>C.M.R.</w:t>
      </w:r>
      <w:r w:rsidR="00797E96">
        <w:rPr>
          <w:rFonts w:cs="Times New Roman"/>
        </w:rPr>
        <w:t xml:space="preserve"> 6.02</w:t>
      </w:r>
      <w:r w:rsidR="00215120">
        <w:rPr>
          <w:rFonts w:cs="Times New Roman"/>
        </w:rPr>
        <w:t>(3)(C)(1).</w:t>
      </w:r>
    </w:p>
    <w:p w:rsidR="006F7455" w:rsidRPr="006F7455" w:rsidRDefault="006F7455" w:rsidP="00215120">
      <w:pPr>
        <w:rPr>
          <w:rFonts w:cs="Times New Roman"/>
          <w:i/>
        </w:rPr>
      </w:pPr>
      <w:r>
        <w:rPr>
          <w:rFonts w:cs="Times New Roman"/>
          <w:i/>
        </w:rPr>
        <w:t>In practice, reviews are sometimes held with the second party or volunteer absent. A review is never held without a reviewer from the FCRU.</w:t>
      </w:r>
    </w:p>
    <w:p w:rsidR="005A318E" w:rsidRPr="00C12D7E" w:rsidRDefault="003C0D6F" w:rsidP="00C12D7E">
      <w:pPr>
        <w:rPr>
          <w:b/>
        </w:rPr>
      </w:pPr>
      <w:r w:rsidRPr="00C12D7E">
        <w:rPr>
          <w:b/>
        </w:rPr>
        <w:t>Who else attends the review?</w:t>
      </w:r>
    </w:p>
    <w:p w:rsidR="005A318E" w:rsidRDefault="00797E96" w:rsidP="00C12D7E">
      <w:pPr>
        <w:rPr>
          <w:rFonts w:cs="Times New Roman"/>
        </w:rPr>
      </w:pPr>
      <w:r>
        <w:rPr>
          <w:rFonts w:cs="Times New Roman"/>
        </w:rPr>
        <w:t>DCF uses the term “mandatory invitees” for people who must be invited to an FCR</w:t>
      </w:r>
      <w:r w:rsidR="009F4518" w:rsidRPr="00C12D7E">
        <w:rPr>
          <w:rFonts w:cs="Times New Roman"/>
        </w:rPr>
        <w:t xml:space="preserve">. </w:t>
      </w:r>
      <w:r w:rsidR="00C12D7E">
        <w:rPr>
          <w:rFonts w:cs="Times New Roman"/>
        </w:rPr>
        <w:t>Mandatory invitees should receive an inquiry about scheduling from the caseworker</w:t>
      </w:r>
      <w:r w:rsidR="00DB5F73">
        <w:rPr>
          <w:rFonts w:cs="Times New Roman"/>
        </w:rPr>
        <w:t xml:space="preserve"> and later </w:t>
      </w:r>
      <w:r w:rsidR="006F7455">
        <w:rPr>
          <w:rFonts w:cs="Times New Roman"/>
        </w:rPr>
        <w:t xml:space="preserve">a </w:t>
      </w:r>
      <w:r>
        <w:rPr>
          <w:rFonts w:cs="Times New Roman"/>
        </w:rPr>
        <w:t>notification of the date/time and place of the review.</w:t>
      </w:r>
      <w:r w:rsidR="00DB5F73">
        <w:rPr>
          <w:rFonts w:cs="Times New Roman"/>
        </w:rPr>
        <w:t xml:space="preserve"> </w:t>
      </w:r>
      <w:r>
        <w:rPr>
          <w:rFonts w:cs="Times New Roman"/>
        </w:rPr>
        <w:t>Policy Appendix A; 110 C.M.R. 6.02(4)</w:t>
      </w:r>
    </w:p>
    <w:p w:rsidR="004C52AE" w:rsidRDefault="00DB5F73" w:rsidP="00DB0B0B">
      <w:pPr>
        <w:rPr>
          <w:rFonts w:cs="Times New Roman"/>
        </w:rPr>
      </w:pPr>
      <w:r>
        <w:rPr>
          <w:rFonts w:cs="Times New Roman"/>
        </w:rPr>
        <w:t>The list of</w:t>
      </w:r>
      <w:r w:rsidR="00F60B5D">
        <w:rPr>
          <w:rFonts w:cs="Times New Roman"/>
        </w:rPr>
        <w:t xml:space="preserve"> mandatory invitees is: Parents; guardians;</w:t>
      </w:r>
      <w:r>
        <w:rPr>
          <w:rFonts w:cs="Times New Roman"/>
        </w:rPr>
        <w:t xml:space="preserve"> young adults in DCF care, children/youth over age 14 in DCF custody</w:t>
      </w:r>
      <w:r w:rsidR="004C52AE">
        <w:rPr>
          <w:rFonts w:cs="Times New Roman"/>
        </w:rPr>
        <w:t xml:space="preserve"> (the social worker must arrange transportation)</w:t>
      </w:r>
      <w:r w:rsidR="00F60B5D">
        <w:rPr>
          <w:rFonts w:cs="Times New Roman"/>
        </w:rPr>
        <w:t>;</w:t>
      </w:r>
      <w:r>
        <w:rPr>
          <w:rFonts w:cs="Times New Roman"/>
        </w:rPr>
        <w:t xml:space="preserve"> placement resources i.e. fost</w:t>
      </w:r>
      <w:r w:rsidR="00F60B5D">
        <w:rPr>
          <w:rFonts w:cs="Times New Roman"/>
        </w:rPr>
        <w:t>er parents or residential staff;</w:t>
      </w:r>
      <w:r>
        <w:rPr>
          <w:rFonts w:cs="Times New Roman"/>
        </w:rPr>
        <w:t xml:space="preserve"> attorneys for children</w:t>
      </w:r>
      <w:r w:rsidR="00193562">
        <w:rPr>
          <w:rFonts w:cs="Times New Roman"/>
        </w:rPr>
        <w:t>, parents,</w:t>
      </w:r>
      <w:r>
        <w:rPr>
          <w:rFonts w:cs="Times New Roman"/>
        </w:rPr>
        <w:t xml:space="preserve"> and </w:t>
      </w:r>
      <w:r w:rsidR="004C52AE">
        <w:rPr>
          <w:rFonts w:cs="Times New Roman"/>
        </w:rPr>
        <w:t>PYA young adults</w:t>
      </w:r>
      <w:r w:rsidR="00F60B5D">
        <w:rPr>
          <w:rFonts w:cs="Times New Roman"/>
        </w:rPr>
        <w:t>;</w:t>
      </w:r>
      <w:r w:rsidR="004C52AE">
        <w:rPr>
          <w:rFonts w:cs="Times New Roman"/>
        </w:rPr>
        <w:t xml:space="preserve"> the assigned DCF caseworker and sup</w:t>
      </w:r>
      <w:r w:rsidR="00F60B5D">
        <w:rPr>
          <w:rFonts w:cs="Times New Roman"/>
        </w:rPr>
        <w:t>ervisor;</w:t>
      </w:r>
      <w:r w:rsidR="004C52AE">
        <w:rPr>
          <w:rFonts w:cs="Times New Roman"/>
        </w:rPr>
        <w:t xml:space="preserve"> the DCF attorney (whether they regularly attend</w:t>
      </w:r>
      <w:r w:rsidR="00F60B5D">
        <w:rPr>
          <w:rFonts w:cs="Times New Roman"/>
        </w:rPr>
        <w:t xml:space="preserve"> depends on the local practice);</w:t>
      </w:r>
      <w:r w:rsidR="004C52AE">
        <w:rPr>
          <w:rFonts w:cs="Times New Roman"/>
        </w:rPr>
        <w:t xml:space="preserve"> and other assigned DCF workers such as adoption or family resource workers.</w:t>
      </w:r>
    </w:p>
    <w:p w:rsidR="004C52AE" w:rsidRPr="00DB0B0B" w:rsidRDefault="004C52AE" w:rsidP="00C12D7E">
      <w:pPr>
        <w:rPr>
          <w:rFonts w:cs="Times New Roman"/>
          <w:i/>
        </w:rPr>
      </w:pPr>
      <w:r w:rsidRPr="00DB0B0B">
        <w:rPr>
          <w:rFonts w:cs="Times New Roman"/>
          <w:i/>
        </w:rPr>
        <w:t>If the children are in a kinship placement which your client supports, check to make sure the placement provider was notified of the review. Often they don’t know about it or don’t notice the letter—it looks bad if they don’t show up.</w:t>
      </w:r>
    </w:p>
    <w:p w:rsidR="005A318E" w:rsidRPr="00C12D7E" w:rsidRDefault="00CE42A3" w:rsidP="00C12D7E">
      <w:pPr>
        <w:rPr>
          <w:rFonts w:cs="Times New Roman"/>
        </w:rPr>
      </w:pPr>
      <w:r>
        <w:rPr>
          <w:rFonts w:cs="Times New Roman"/>
        </w:rPr>
        <w:t xml:space="preserve">While the policy does not explicitly mention additional people, the regulations state that a parent may invite “other persons to provide support” such as a friend or service provider. </w:t>
      </w:r>
      <w:r w:rsidR="00CA00AF" w:rsidRPr="00215120">
        <w:rPr>
          <w:rFonts w:cs="Times New Roman"/>
        </w:rPr>
        <w:t xml:space="preserve">110 </w:t>
      </w:r>
      <w:r w:rsidR="00CA00AF">
        <w:rPr>
          <w:rFonts w:cs="Times New Roman"/>
        </w:rPr>
        <w:t xml:space="preserve">C.M.R. 6.02(4)(a). </w:t>
      </w:r>
      <w:r>
        <w:rPr>
          <w:rFonts w:cs="Times New Roman"/>
        </w:rPr>
        <w:t xml:space="preserve">In addition, the regulations state that </w:t>
      </w:r>
      <w:r w:rsidR="00DA3F14">
        <w:rPr>
          <w:rFonts w:cs="Times New Roman"/>
        </w:rPr>
        <w:t>the mandatory invitees include “</w:t>
      </w:r>
      <w:r w:rsidR="00DA3F14">
        <w:t>staff of other public or private agencies and other individuals important to the child or family.”</w:t>
      </w:r>
      <w:r w:rsidR="00CA00AF">
        <w:t xml:space="preserve"> </w:t>
      </w:r>
      <w:r w:rsidR="00CA00AF" w:rsidRPr="00215120">
        <w:rPr>
          <w:rFonts w:cs="Times New Roman"/>
        </w:rPr>
        <w:t xml:space="preserve">110 </w:t>
      </w:r>
      <w:r w:rsidR="00CA00AF">
        <w:rPr>
          <w:rFonts w:cs="Times New Roman"/>
        </w:rPr>
        <w:t>C.M.R. 6.02(4)(l)</w:t>
      </w:r>
    </w:p>
    <w:p w:rsidR="003C0D6F" w:rsidRPr="001A4A41" w:rsidRDefault="003C0D6F" w:rsidP="001A4A41">
      <w:pPr>
        <w:rPr>
          <w:b/>
        </w:rPr>
      </w:pPr>
      <w:r w:rsidRPr="001A4A41">
        <w:rPr>
          <w:b/>
        </w:rPr>
        <w:t>What if my client has a special circumstance?</w:t>
      </w:r>
    </w:p>
    <w:p w:rsidR="00CA00AF" w:rsidRDefault="001A0AAE" w:rsidP="00644E09">
      <w:pPr>
        <w:rPr>
          <w:b/>
        </w:rPr>
      </w:pPr>
      <w:r w:rsidRPr="001A4A41">
        <w:rPr>
          <w:u w:val="single"/>
        </w:rPr>
        <w:t>Location change:</w:t>
      </w:r>
      <w:r w:rsidR="00532EF0" w:rsidRPr="000732B8">
        <w:t xml:space="preserve"> </w:t>
      </w:r>
      <w:r w:rsidR="00A80D7F" w:rsidRPr="000732B8">
        <w:t xml:space="preserve"> </w:t>
      </w:r>
      <w:r w:rsidR="005A318E" w:rsidRPr="000732B8">
        <w:t xml:space="preserve">Normally FCRs happen at the DCF office associated with the case. </w:t>
      </w:r>
      <w:r w:rsidR="00DB0B0B">
        <w:rPr>
          <w:rFonts w:cs="Times New Roman"/>
        </w:rPr>
        <w:t>However, they can be held at alternate locations</w:t>
      </w:r>
      <w:r w:rsidR="00644E09">
        <w:rPr>
          <w:b/>
        </w:rPr>
        <w:t xml:space="preserve">. </w:t>
      </w:r>
      <w:r w:rsidR="00A80D7F" w:rsidRPr="001A4A41">
        <w:rPr>
          <w:rFonts w:cs="Times New Roman"/>
        </w:rPr>
        <w:t>If your client is incarcerated you can ask to hold the review at the jail/prison. You may also ask to hold the review at a different DCF office closer to your client’s location.</w:t>
      </w:r>
      <w:r w:rsidR="00644B26">
        <w:rPr>
          <w:rFonts w:cs="Times New Roman"/>
        </w:rPr>
        <w:t xml:space="preserve"> </w:t>
      </w:r>
      <w:r w:rsidR="00CA00AF">
        <w:rPr>
          <w:rFonts w:cs="Times New Roman"/>
        </w:rPr>
        <w:t xml:space="preserve">Policy § II.C.1; </w:t>
      </w:r>
      <w:r w:rsidR="00CA00AF">
        <w:rPr>
          <w:rFonts w:cs="Times New Roman"/>
          <w:i/>
        </w:rPr>
        <w:t>see also</w:t>
      </w:r>
      <w:r w:rsidR="00CA00AF">
        <w:rPr>
          <w:rFonts w:cs="Times New Roman"/>
        </w:rPr>
        <w:t xml:space="preserve"> 110 C.M.R. 1.10 (“</w:t>
      </w:r>
      <w:r w:rsidR="00CA00AF" w:rsidRPr="00CA00AF">
        <w:rPr>
          <w:rFonts w:cs="Times New Roman"/>
        </w:rPr>
        <w:t xml:space="preserve">The Department's efforts shall include </w:t>
      </w:r>
      <w:r w:rsidR="00CA00AF">
        <w:rPr>
          <w:rFonts w:cs="Times New Roman"/>
        </w:rPr>
        <w:t>. . .</w:t>
      </w:r>
      <w:r w:rsidR="00CA00AF" w:rsidRPr="00CA00AF">
        <w:rPr>
          <w:rFonts w:cs="Times New Roman"/>
        </w:rPr>
        <w:t xml:space="preserve"> the holding of case conferences and other consultations at the correctional facility</w:t>
      </w:r>
      <w:r w:rsidR="00CA00AF">
        <w:rPr>
          <w:rFonts w:cs="Times New Roman"/>
        </w:rPr>
        <w:t>”).</w:t>
      </w:r>
    </w:p>
    <w:p w:rsidR="00A80D7F" w:rsidRPr="00CA00AF" w:rsidRDefault="001A0AAE" w:rsidP="00644E09">
      <w:pPr>
        <w:rPr>
          <w:b/>
        </w:rPr>
      </w:pPr>
      <w:r w:rsidRPr="001A4A41">
        <w:rPr>
          <w:u w:val="single"/>
        </w:rPr>
        <w:lastRenderedPageBreak/>
        <w:t>Interpreter:</w:t>
      </w:r>
      <w:r w:rsidR="00644E09">
        <w:rPr>
          <w:u w:val="single"/>
        </w:rPr>
        <w:t xml:space="preserve"> </w:t>
      </w:r>
      <w:r w:rsidR="00A80D7F" w:rsidRPr="000732B8">
        <w:t xml:space="preserve"> A parent or child who is not fluent in English has the right to an interpreter at a review.</w:t>
      </w:r>
      <w:r w:rsidR="00644E09">
        <w:t xml:space="preserve"> </w:t>
      </w:r>
      <w:r w:rsidR="004774B2">
        <w:rPr>
          <w:rFonts w:cs="Times New Roman"/>
        </w:rPr>
        <w:t xml:space="preserve">§ II.C.1; 110 C.M.R. 6.02(6)(f); </w:t>
      </w:r>
      <w:r w:rsidR="004774B2">
        <w:rPr>
          <w:rFonts w:cs="Times New Roman"/>
          <w:i/>
        </w:rPr>
        <w:t>see also</w:t>
      </w:r>
      <w:r w:rsidR="004774B2">
        <w:rPr>
          <w:rFonts w:cs="Times New Roman"/>
        </w:rPr>
        <w:t xml:space="preserve"> 110 C.M.R. 1.06.</w:t>
      </w:r>
      <w:r w:rsidR="00CA00AF">
        <w:rPr>
          <w:rFonts w:cs="Times New Roman"/>
        </w:rPr>
        <w:t xml:space="preserve"> </w:t>
      </w:r>
      <w:r w:rsidR="00644E09">
        <w:t>However, the policy states that an individual review can only be rescheduled twice for want of an interpreter</w:t>
      </w:r>
      <w:r w:rsidR="00EA319E">
        <w:t xml:space="preserve">. </w:t>
      </w:r>
      <w:r w:rsidR="00EA319E">
        <w:rPr>
          <w:rFonts w:cs="Times New Roman"/>
        </w:rPr>
        <w:t>§ II.C.10</w:t>
      </w:r>
      <w:r w:rsidR="00644E09">
        <w:t>.</w:t>
      </w:r>
      <w:r w:rsidR="006D7F9A">
        <w:t xml:space="preserve"> </w:t>
      </w:r>
      <w:r w:rsidR="006D7F9A">
        <w:rPr>
          <w:i/>
        </w:rPr>
        <w:t>Make sure to put DCF on notice as early as possible if your client requires an interpreter. If your client’s review goes forward without an interpreter, consider filing a grievance or fair hearing on language access grounds.</w:t>
      </w:r>
      <w:r w:rsidR="005E4474">
        <w:rPr>
          <w:i/>
        </w:rPr>
        <w:t xml:space="preserve"> See the CPCS Language Access page on </w:t>
      </w:r>
      <w:r w:rsidR="006F7455">
        <w:rPr>
          <w:i/>
        </w:rPr>
        <w:t>My</w:t>
      </w:r>
      <w:r w:rsidR="008B3DC0">
        <w:rPr>
          <w:i/>
        </w:rPr>
        <w:t>Gideon</w:t>
      </w:r>
      <w:r w:rsidR="005E4474">
        <w:rPr>
          <w:i/>
        </w:rPr>
        <w:t xml:space="preserve"> for more helpful resources.</w:t>
      </w:r>
    </w:p>
    <w:p w:rsidR="00A80D7F" w:rsidRPr="001A4A41" w:rsidRDefault="001A0AAE" w:rsidP="00644E09">
      <w:pPr>
        <w:rPr>
          <w:b/>
        </w:rPr>
      </w:pPr>
      <w:r w:rsidRPr="001A4A41">
        <w:rPr>
          <w:u w:val="single"/>
        </w:rPr>
        <w:t>Safety Concerns:</w:t>
      </w:r>
      <w:r w:rsidR="00A80D7F" w:rsidRPr="000732B8">
        <w:t xml:space="preserve"> The case worker can request a security detail or a split review (in which each parent’s review is held separately)</w:t>
      </w:r>
      <w:r w:rsidR="00644E09">
        <w:t>.</w:t>
      </w:r>
      <w:r w:rsidR="00A80D7F" w:rsidRPr="000732B8">
        <w:t xml:space="preserve"> The </w:t>
      </w:r>
      <w:r w:rsidR="00644E09">
        <w:t xml:space="preserve">reviewer makes the final decision. </w:t>
      </w:r>
      <w:r w:rsidR="00A80D7F" w:rsidRPr="000732B8">
        <w:t xml:space="preserve"> Reviews are always split if there is an active restraining order</w:t>
      </w:r>
      <w:r w:rsidR="001E3037">
        <w:t xml:space="preserve"> prohibiting contact between the parents</w:t>
      </w:r>
      <w:r w:rsidR="00A80D7F" w:rsidRPr="000732B8">
        <w:t>.</w:t>
      </w:r>
      <w:r w:rsidR="00EA319E">
        <w:t xml:space="preserve"> </w:t>
      </w:r>
      <w:r w:rsidR="00EA319E">
        <w:rPr>
          <w:rFonts w:cs="Times New Roman"/>
        </w:rPr>
        <w:t>§ II.C.13-16.</w:t>
      </w:r>
    </w:p>
    <w:p w:rsidR="00A80D7F" w:rsidRPr="001A4A41" w:rsidRDefault="00A80D7F" w:rsidP="00644E09">
      <w:pPr>
        <w:rPr>
          <w:b/>
        </w:rPr>
      </w:pPr>
      <w:r w:rsidRPr="000732B8">
        <w:t xml:space="preserve">The policy </w:t>
      </w:r>
      <w:r w:rsidR="00644E09">
        <w:t xml:space="preserve">also </w:t>
      </w:r>
      <w:r w:rsidRPr="000732B8">
        <w:t xml:space="preserve">states that the area director may outright exclude a parent with a history of violent behavior from the review under certain conditions—see </w:t>
      </w:r>
      <w:r w:rsidR="006F7455">
        <w:t xml:space="preserve">Policy </w:t>
      </w:r>
      <w:r w:rsidR="00AB0663">
        <w:t>§ II.C.</w:t>
      </w:r>
      <w:r w:rsidR="006F7455">
        <w:t>1</w:t>
      </w:r>
      <w:r w:rsidR="00AB0663">
        <w:t>6</w:t>
      </w:r>
      <w:r w:rsidR="006F7455">
        <w:t>.</w:t>
      </w:r>
    </w:p>
    <w:p w:rsidR="00253679" w:rsidRPr="00AC7685" w:rsidRDefault="001A0AAE" w:rsidP="00644E09">
      <w:pPr>
        <w:rPr>
          <w:b/>
          <w:i/>
        </w:rPr>
      </w:pPr>
      <w:r w:rsidRPr="001A4A41">
        <w:rPr>
          <w:u w:val="single"/>
        </w:rPr>
        <w:t>Phoning in:</w:t>
      </w:r>
      <w:r w:rsidR="00253679" w:rsidRPr="001A4A41">
        <w:rPr>
          <w:u w:val="single"/>
        </w:rPr>
        <w:t xml:space="preserve"> </w:t>
      </w:r>
      <w:r w:rsidR="00644E09">
        <w:rPr>
          <w:b/>
        </w:rPr>
        <w:t xml:space="preserve"> </w:t>
      </w:r>
      <w:r w:rsidR="00AC7685">
        <w:t xml:space="preserve">The policy states that a </w:t>
      </w:r>
      <w:r w:rsidR="00253679" w:rsidRPr="000732B8">
        <w:t>request to phone in must be made 10 days in advance</w:t>
      </w:r>
      <w:r w:rsidR="006F7455">
        <w:t xml:space="preserve"> of the review</w:t>
      </w:r>
      <w:r w:rsidR="00253679" w:rsidRPr="000732B8">
        <w:t xml:space="preserve"> to the case worker.</w:t>
      </w:r>
      <w:r w:rsidR="00AC7685">
        <w:t xml:space="preserve"> </w:t>
      </w:r>
      <w:r w:rsidR="00AC7685">
        <w:rPr>
          <w:i/>
        </w:rPr>
        <w:t>If you did not receive adequate notice, or if you’ve passed this deadline for some other reason, it can’t hurt to still ask to call in. The ten day requirement is often not enforced in practice.</w:t>
      </w:r>
    </w:p>
    <w:p w:rsidR="003C0D6F" w:rsidRPr="00644E09" w:rsidRDefault="003C0D6F">
      <w:pPr>
        <w:rPr>
          <w:b/>
          <w:u w:val="single"/>
        </w:rPr>
      </w:pPr>
      <w:r w:rsidRPr="00644E09">
        <w:rPr>
          <w:b/>
          <w:u w:val="single"/>
        </w:rPr>
        <w:t>During the Review</w:t>
      </w:r>
    </w:p>
    <w:p w:rsidR="003C0D6F" w:rsidRPr="00644E09" w:rsidRDefault="00644E09" w:rsidP="00644E09">
      <w:pPr>
        <w:rPr>
          <w:b/>
        </w:rPr>
      </w:pPr>
      <w:r>
        <w:rPr>
          <w:b/>
        </w:rPr>
        <w:t>How will the review begin</w:t>
      </w:r>
      <w:r w:rsidR="003C0D6F" w:rsidRPr="00644E09">
        <w:rPr>
          <w:b/>
        </w:rPr>
        <w:t>?</w:t>
      </w:r>
    </w:p>
    <w:p w:rsidR="00CE168C" w:rsidRDefault="006D7F9A" w:rsidP="00644E09">
      <w:r>
        <w:t>T</w:t>
      </w:r>
      <w:r w:rsidR="00644E09">
        <w:t xml:space="preserve">he review typically begins with </w:t>
      </w:r>
      <w:r w:rsidR="00CE168C" w:rsidRPr="000732B8">
        <w:t>a verbal summary of how DCF got involved with the family and how the removal happened</w:t>
      </w:r>
      <w:r w:rsidR="00644E09">
        <w:t>.</w:t>
      </w:r>
    </w:p>
    <w:p w:rsidR="00CE168C" w:rsidRPr="000732B8" w:rsidRDefault="00644E09" w:rsidP="00644E09">
      <w:r>
        <w:t xml:space="preserve">The policy states that the social worker should give this summary and that it should discuss </w:t>
      </w:r>
      <w:r w:rsidR="00CE168C" w:rsidRPr="000732B8">
        <w:t xml:space="preserve">the case history, the current action plan, the strengths of the family, the “observable progress” of the family, the progress to the goal, the results of 29Bs, </w:t>
      </w:r>
      <w:r w:rsidR="00765D03">
        <w:t>Permanency Planning Conferences (PPCs)</w:t>
      </w:r>
      <w:r w:rsidR="00CE168C" w:rsidRPr="000732B8">
        <w:t xml:space="preserve">, or other “intervening reviews,” </w:t>
      </w:r>
      <w:r w:rsidR="001A0AAE" w:rsidRPr="000732B8">
        <w:t xml:space="preserve">significant developments since the last review, and the proposed </w:t>
      </w:r>
      <w:r w:rsidR="00AC7685">
        <w:t xml:space="preserve">permanency </w:t>
      </w:r>
      <w:r w:rsidR="001A0AAE" w:rsidRPr="000732B8">
        <w:t>plan and target date.</w:t>
      </w:r>
      <w:r w:rsidR="00EA319E">
        <w:t xml:space="preserve"> Policy </w:t>
      </w:r>
      <w:r w:rsidR="00EA319E">
        <w:rPr>
          <w:rFonts w:cs="Times New Roman"/>
        </w:rPr>
        <w:t>§ II.D.12</w:t>
      </w:r>
    </w:p>
    <w:p w:rsidR="006D7F9A" w:rsidRDefault="001A0AAE" w:rsidP="00644E09">
      <w:pPr>
        <w:rPr>
          <w:i/>
        </w:rPr>
      </w:pPr>
      <w:r w:rsidRPr="00644E09">
        <w:rPr>
          <w:i/>
          <w:u w:val="single"/>
        </w:rPr>
        <w:t>In practice:</w:t>
      </w:r>
      <w:r w:rsidRPr="00644E09">
        <w:rPr>
          <w:i/>
        </w:rPr>
        <w:t xml:space="preserve"> The case worker or case reviewer often invites the parents to give a verbal summary of DCF’s involvement. While in theory this practice is empowering to the parent, in practice it may get the review off on the wrong foot if the parent’s summary omits facts that the case worker believes are pertinent, causing a back-and-forth argument between the parent and caseworker.  When representing parents, it can be helpful to prepare them to </w:t>
      </w:r>
      <w:r w:rsidR="006D7F9A">
        <w:rPr>
          <w:i/>
        </w:rPr>
        <w:t xml:space="preserve">give a summary. The parent should accept responsibility for their own actions </w:t>
      </w:r>
      <w:r w:rsidR="00CA00AF">
        <w:rPr>
          <w:i/>
        </w:rPr>
        <w:t xml:space="preserve">if appropriate, </w:t>
      </w:r>
      <w:r w:rsidR="00812854">
        <w:rPr>
          <w:i/>
        </w:rPr>
        <w:t xml:space="preserve">though you </w:t>
      </w:r>
      <w:r w:rsidR="004774B2">
        <w:rPr>
          <w:i/>
        </w:rPr>
        <w:t xml:space="preserve">advise your client not to make any admissions </w:t>
      </w:r>
      <w:r w:rsidR="00812854">
        <w:rPr>
          <w:i/>
        </w:rPr>
        <w:t xml:space="preserve">that could be </w:t>
      </w:r>
      <w:r w:rsidR="004774B2">
        <w:rPr>
          <w:i/>
        </w:rPr>
        <w:t>used</w:t>
      </w:r>
      <w:r w:rsidR="00812854">
        <w:rPr>
          <w:i/>
        </w:rPr>
        <w:t xml:space="preserve"> against them in a criminal context</w:t>
      </w:r>
      <w:r w:rsidR="006D7F9A">
        <w:rPr>
          <w:i/>
        </w:rPr>
        <w:t xml:space="preserve">. </w:t>
      </w:r>
      <w:r w:rsidR="00812854">
        <w:rPr>
          <w:i/>
        </w:rPr>
        <w:t>This</w:t>
      </w:r>
      <w:r w:rsidR="006D7F9A">
        <w:rPr>
          <w:i/>
        </w:rPr>
        <w:t xml:space="preserve"> is also the parent’s chance to clearly explain if and how DCF acted wrongly during the removal.</w:t>
      </w:r>
    </w:p>
    <w:p w:rsidR="003C0D6F" w:rsidRPr="00644E09" w:rsidRDefault="003C0D6F" w:rsidP="00644E09">
      <w:pPr>
        <w:rPr>
          <w:b/>
        </w:rPr>
      </w:pPr>
      <w:r w:rsidRPr="00644E09">
        <w:rPr>
          <w:b/>
        </w:rPr>
        <w:t>What will be decided at the review?</w:t>
      </w:r>
    </w:p>
    <w:p w:rsidR="00A637B3" w:rsidRPr="000732B8" w:rsidRDefault="00A637B3" w:rsidP="00644E09">
      <w:r w:rsidRPr="000732B8">
        <w:t>There are roughly three categories of decisions made at the review: Goal changes, determinations, and recommendations. All of the decisions are made by a majority decision of the panel.</w:t>
      </w:r>
    </w:p>
    <w:p w:rsidR="00A637B3" w:rsidRDefault="00A637B3" w:rsidP="00644E09">
      <w:r w:rsidRPr="00644E09">
        <w:rPr>
          <w:u w:val="single"/>
        </w:rPr>
        <w:t>Goal Changes</w:t>
      </w:r>
      <w:r w:rsidRPr="000732B8">
        <w:t xml:space="preserve"> are a change in DCF’s formal goal for one of the children. The goal must be one of six statutorily prescribed categories: Reunification, Stabilization of the family (used when children are living at home), Care with Kin, Guardianship, Adoption, and </w:t>
      </w:r>
      <w:r w:rsidR="004C5587">
        <w:t>Another/</w:t>
      </w:r>
      <w:r w:rsidRPr="000732B8">
        <w:t>A</w:t>
      </w:r>
      <w:r w:rsidR="00C35A7C">
        <w:t>lternative</w:t>
      </w:r>
      <w:r w:rsidRPr="000732B8">
        <w:t xml:space="preserve"> Permanent Planned Living Arrangement (APPLA, usually used for a goal of independent living/aging out of foster </w:t>
      </w:r>
      <w:r w:rsidR="00812854">
        <w:t>care. APPLA cannot be a goal for a child younger than 16. An APPLA plan should include information about lifelong connections to caring adults and building skills for adulthood).</w:t>
      </w:r>
    </w:p>
    <w:p w:rsidR="004636DD" w:rsidRPr="004636DD" w:rsidRDefault="004636DD" w:rsidP="00644E09">
      <w:pPr>
        <w:rPr>
          <w:i/>
        </w:rPr>
      </w:pPr>
      <w:r>
        <w:rPr>
          <w:i/>
        </w:rPr>
        <w:t xml:space="preserve">Clients often believe that, for example, a DCF goal change to Adoption means that a child will be adopted. It’s important to </w:t>
      </w:r>
      <w:r w:rsidR="00644B26">
        <w:rPr>
          <w:i/>
        </w:rPr>
        <w:t xml:space="preserve">take a moment before the review to explain to your client what a goal change means. Goals do not affect parental rights, the trial process, or DCF’s obligation to pursue concurrent planning. </w:t>
      </w:r>
    </w:p>
    <w:p w:rsidR="00EE177D" w:rsidRDefault="00EE177D" w:rsidP="00644E09">
      <w:r>
        <w:t xml:space="preserve">The reviewer can recommend a change of goal, but the goal will not actually change </w:t>
      </w:r>
      <w:r w:rsidRPr="00EE177D">
        <w:t>until a Permanency Planning Conference (PPC), an internal DCF meeting at which a goal change can go into effect.</w:t>
      </w:r>
      <w:r w:rsidRPr="00644E09">
        <w:rPr>
          <w:i/>
        </w:rPr>
        <w:t xml:space="preserve"> Since parents, children, and attorneys are not invited to PPC’s, the FCR can be the last chance to formally protest the goal change before it goes into effect.</w:t>
      </w:r>
    </w:p>
    <w:p w:rsidR="00EE177D" w:rsidRDefault="00CE42A3" w:rsidP="00644E09">
      <w:pPr>
        <w:rPr>
          <w:i/>
        </w:rPr>
      </w:pPr>
      <w:r>
        <w:t>As required by the regulations,</w:t>
      </w:r>
      <w:r w:rsidR="00EE177D">
        <w:t xml:space="preserve"> </w:t>
      </w:r>
      <w:r>
        <w:t xml:space="preserve">the </w:t>
      </w:r>
      <w:r w:rsidR="00EE177D">
        <w:t xml:space="preserve">reviewer will ask the caseworker to identify a “target date” for the goal, meaning an approximate date by which the goal is likely to be achieved. </w:t>
      </w:r>
      <w:r w:rsidR="00EE177D" w:rsidRPr="00EE177D">
        <w:rPr>
          <w:i/>
        </w:rPr>
        <w:t>Parents often fixate on the date, as it is one of the few pieces of concrete information that they have. It’s important to counsel parent clients that the target date has no real legal meaning; nothing will be triggered if the goal is not achieved by that date.</w:t>
      </w:r>
    </w:p>
    <w:p w:rsidR="00CE42A3" w:rsidRPr="006D6B2D" w:rsidRDefault="00CE42A3" w:rsidP="00644E09">
      <w:r>
        <w:t>The regulations also re</w:t>
      </w:r>
      <w:r w:rsidR="0094675E">
        <w:t>quire</w:t>
      </w:r>
      <w:r>
        <w:t xml:space="preserve"> the </w:t>
      </w:r>
      <w:r w:rsidR="00911272">
        <w:t>panel</w:t>
      </w:r>
      <w:r>
        <w:t xml:space="preserve"> to consider whether or not progress has been made towards the identified goal. The reviewers often use the language of “sufficient” or “insufficient” progress.</w:t>
      </w:r>
      <w:r w:rsidR="00A21056">
        <w:t xml:space="preserve"> </w:t>
      </w:r>
      <w:r w:rsidR="006D6B2D">
        <w:t xml:space="preserve"> </w:t>
      </w:r>
      <w:r w:rsidR="006D6B2D">
        <w:rPr>
          <w:i/>
        </w:rPr>
        <w:t>See</w:t>
      </w:r>
      <w:r w:rsidR="006D6B2D">
        <w:t xml:space="preserve"> 110 C.M.R. 6.02(9)(g)</w:t>
      </w:r>
    </w:p>
    <w:p w:rsidR="006F7455" w:rsidRDefault="00A637B3" w:rsidP="00644E09">
      <w:pPr>
        <w:rPr>
          <w:rFonts w:cs="Times New Roman"/>
        </w:rPr>
      </w:pPr>
      <w:r w:rsidRPr="00644E09">
        <w:rPr>
          <w:u w:val="single"/>
        </w:rPr>
        <w:t>Determinations</w:t>
      </w:r>
      <w:r w:rsidRPr="000732B8">
        <w:t xml:space="preserve"> are binding. They are intended to affect DCF’s casework and action planning going forward. </w:t>
      </w:r>
      <w:r w:rsidR="00EE177D">
        <w:t>The policy sets forth a list of determinations which the review team must make and list in the FCR report which will be sent out after the review. While t</w:t>
      </w:r>
      <w:r w:rsidR="00EE177D" w:rsidRPr="000732B8">
        <w:t>he determinations are phrased in a way that seems to welco</w:t>
      </w:r>
      <w:r w:rsidR="00EE177D">
        <w:t>me nuanced or detailed answers, in most cases the reviewer must give a binary “yes or no” answer to each question.</w:t>
      </w:r>
      <w:r w:rsidR="00EA319E">
        <w:t xml:space="preserve"> See Policy </w:t>
      </w:r>
      <w:r w:rsidR="00EA319E">
        <w:rPr>
          <w:rFonts w:cs="Times New Roman"/>
        </w:rPr>
        <w:t>§§ II.A (p. 4-5) and II.E.1</w:t>
      </w:r>
      <w:r w:rsidR="006F7455">
        <w:rPr>
          <w:rFonts w:cs="Times New Roman"/>
        </w:rPr>
        <w:t>; 110 C.M.R. 6.02(9)</w:t>
      </w:r>
    </w:p>
    <w:p w:rsidR="00D364EA" w:rsidRDefault="00AF5BC5" w:rsidP="00644E09">
      <w:r>
        <w:rPr>
          <w:u w:val="single"/>
        </w:rPr>
        <w:t>Changes in the Determinations:</w:t>
      </w:r>
      <w:r>
        <w:t xml:space="preserve"> </w:t>
      </w:r>
      <w:r w:rsidR="00EE177D">
        <w:t>Some of the determinations were also present in</w:t>
      </w:r>
      <w:r w:rsidR="00D364EA">
        <w:t xml:space="preserve"> the previous </w:t>
      </w:r>
      <w:r w:rsidR="00812854">
        <w:t>documentation</w:t>
      </w:r>
      <w:r w:rsidR="00D364EA">
        <w:t>, including whether</w:t>
      </w:r>
      <w:r w:rsidR="00EE177D">
        <w:t xml:space="preserve"> or not there are concerns for the child’s safety,</w:t>
      </w:r>
      <w:r w:rsidR="00D364EA">
        <w:t xml:space="preserve"> and</w:t>
      </w:r>
      <w:r w:rsidR="00EE177D">
        <w:t xml:space="preserve"> whether the child’s placement </w:t>
      </w:r>
      <w:r w:rsidR="00D364EA">
        <w:t>is necessary and appropriate.</w:t>
      </w:r>
    </w:p>
    <w:p w:rsidR="00AF5BC5" w:rsidRPr="00797E96" w:rsidRDefault="00D364EA" w:rsidP="00644E09">
      <w:r>
        <w:t>Under the old policy, the next step in the review after answering those questions was to review the service/action plan and rate each party (parents, DCF, older children, and substitute care providers) on their “full” “partial” or “non-compliance” with their action plan tasks. The new policy replaces this sys</w:t>
      </w:r>
      <w:r w:rsidR="00CE42A3">
        <w:t>tem with a new set of questions which are</w:t>
      </w:r>
      <w:r w:rsidR="00DB0B0B">
        <w:t xml:space="preserve"> seemingly</w:t>
      </w:r>
      <w:r w:rsidR="00CE42A3">
        <w:t xml:space="preserve"> intended to be broader in scope. </w:t>
      </w:r>
      <w:r w:rsidR="00C52BC2">
        <w:t xml:space="preserve">However, the reviewers are still required to </w:t>
      </w:r>
      <w:r w:rsidR="006F7455">
        <w:t>answer each determination with one of a set of multiple-choice radio buttons</w:t>
      </w:r>
      <w:r w:rsidR="00C52BC2">
        <w:t xml:space="preserve">, leaving little room for </w:t>
      </w:r>
      <w:r w:rsidR="006F7455">
        <w:t>subtlety or explanations</w:t>
      </w:r>
      <w:r w:rsidR="00C52BC2">
        <w:t xml:space="preserve"> outside of the “narrative summary” of the report.</w:t>
      </w:r>
    </w:p>
    <w:p w:rsidR="00D364EA" w:rsidRDefault="00AF5BC5" w:rsidP="00644E09">
      <w:r>
        <w:rPr>
          <w:u w:val="single"/>
        </w:rPr>
        <w:t>Parents:</w:t>
      </w:r>
      <w:r>
        <w:t xml:space="preserve"> </w:t>
      </w:r>
      <w:r w:rsidR="006E711B">
        <w:t>Under the new policy, p</w:t>
      </w:r>
      <w:r w:rsidR="00D364EA">
        <w:t xml:space="preserve">arents are now rated on whether they “participated in the action plan” </w:t>
      </w:r>
      <w:r w:rsidR="006E711B">
        <w:t xml:space="preserve">and separately on whether they </w:t>
      </w:r>
      <w:r w:rsidR="00D364EA">
        <w:t xml:space="preserve">“demonstrated </w:t>
      </w:r>
      <w:r w:rsidR="00D364EA" w:rsidRPr="000732B8">
        <w:t>behavioral change to reduce or alleviate danger or need for placement or to achieve desired outcome</w:t>
      </w:r>
      <w:r w:rsidR="006E711B">
        <w:t>.</w:t>
      </w:r>
      <w:r w:rsidR="00D364EA">
        <w:t>”</w:t>
      </w:r>
      <w:r w:rsidR="006D6B2D">
        <w:t xml:space="preserve"> </w:t>
      </w:r>
      <w:r w:rsidR="006D6B2D">
        <w:rPr>
          <w:rFonts w:cs="Times New Roman"/>
        </w:rPr>
        <w:t>110 C.M.R. 6.02(9)(d)(1)</w:t>
      </w:r>
    </w:p>
    <w:p w:rsidR="009D41BA" w:rsidRPr="000732B8" w:rsidRDefault="009D41BA" w:rsidP="00644E09">
      <w:r>
        <w:t>This change may work both for and against parents. Some parents may be able to get a positive rating even if they did not complete all their action plan tasks.</w:t>
      </w:r>
      <w:r w:rsidRPr="000732B8">
        <w:t xml:space="preserve"> On the other hand, some parents may be worse off under this change. DCF caseworkers may say that a parent just “checked off the boxes” of the action plan without really learning from it</w:t>
      </w:r>
      <w:r>
        <w:t>.</w:t>
      </w:r>
      <w:r w:rsidRPr="000732B8">
        <w:t xml:space="preserve"> </w:t>
      </w:r>
      <w:r>
        <w:t>I</w:t>
      </w:r>
      <w:r w:rsidRPr="000732B8">
        <w:t>t’s difficult to come b</w:t>
      </w:r>
      <w:r w:rsidR="00812854">
        <w:t>ack from such a vague assertion and subjective assessment.</w:t>
      </w:r>
    </w:p>
    <w:p w:rsidR="00D364EA" w:rsidRDefault="00AF5BC5" w:rsidP="00644E09">
      <w:r>
        <w:rPr>
          <w:u w:val="single"/>
        </w:rPr>
        <w:t>Foster Care Providers:</w:t>
      </w:r>
      <w:r>
        <w:t xml:space="preserve"> </w:t>
      </w:r>
      <w:r w:rsidR="00D364EA">
        <w:t>The review of action plan tasks for the substitute care provider has been replaced with a single question of whether the provider “</w:t>
      </w:r>
      <w:r w:rsidR="00D364EA" w:rsidRPr="000732B8">
        <w:t>fulfilled all placement expecta</w:t>
      </w:r>
      <w:r w:rsidR="00D364EA">
        <w:t>tions to meet the child’s needs</w:t>
      </w:r>
      <w:r>
        <w:t>.</w:t>
      </w:r>
      <w:r w:rsidR="00D364EA">
        <w:t>”</w:t>
      </w:r>
      <w:r w:rsidR="006D6B2D">
        <w:t xml:space="preserve"> </w:t>
      </w:r>
      <w:r w:rsidR="006D6B2D">
        <w:rPr>
          <w:rFonts w:cs="Times New Roman"/>
        </w:rPr>
        <w:t>110 C.M.R. 6.02(9)(d)(5)</w:t>
      </w:r>
    </w:p>
    <w:p w:rsidR="00D364EA" w:rsidRDefault="00AF5BC5" w:rsidP="00644E09">
      <w:r w:rsidRPr="00AF5BC5">
        <w:rPr>
          <w:u w:val="single"/>
        </w:rPr>
        <w:t>DCF</w:t>
      </w:r>
      <w:r>
        <w:rPr>
          <w:u w:val="single"/>
        </w:rPr>
        <w:t>:</w:t>
      </w:r>
      <w:r>
        <w:t xml:space="preserve"> </w:t>
      </w:r>
      <w:r w:rsidR="00D364EA">
        <w:t>Similarly, DCF is no longer rated on whether the workers have complied with their action plan tasks but on whether DCF has “</w:t>
      </w:r>
      <w:r w:rsidR="00D364EA" w:rsidRPr="000732B8">
        <w:t>completed the necessary steps to address the needs of the family</w:t>
      </w:r>
      <w:r>
        <w:t>.</w:t>
      </w:r>
      <w:r w:rsidR="00D364EA">
        <w:t>”</w:t>
      </w:r>
      <w:r w:rsidR="00812854">
        <w:t xml:space="preserve"> This means that it is possible to raise issues at the review that are not mentioned in the action plan. It also means that DCF is no longer held to any particular set of requirements on a given case.</w:t>
      </w:r>
      <w:r w:rsidR="006D6B2D">
        <w:t xml:space="preserve"> </w:t>
      </w:r>
      <w:r w:rsidR="006D6B2D">
        <w:rPr>
          <w:rFonts w:cs="Times New Roman"/>
        </w:rPr>
        <w:t>110 C.M.R. 6.02(9)(d)(3)</w:t>
      </w:r>
    </w:p>
    <w:p w:rsidR="00175913" w:rsidRPr="000732B8" w:rsidRDefault="00FB59CD" w:rsidP="00D364EA">
      <w:r>
        <w:rPr>
          <w:u w:val="single"/>
        </w:rPr>
        <w:t>The Reasonable and Prudent Parent Standard:</w:t>
      </w:r>
      <w:r>
        <w:t xml:space="preserve"> </w:t>
      </w:r>
      <w:r w:rsidR="004C5587">
        <w:t xml:space="preserve">The new </w:t>
      </w:r>
      <w:r w:rsidR="00812854">
        <w:t>documentation</w:t>
      </w:r>
      <w:r w:rsidR="004C5587">
        <w:t xml:space="preserve"> also has additional determinations to address the federal requirement of a “reasonable and prudent parent standard” meaning that foster </w:t>
      </w:r>
      <w:r w:rsidR="00FC0FC1">
        <w:t>children</w:t>
      </w:r>
      <w:r w:rsidR="004C5587">
        <w:t xml:space="preserve"> should be able to do activities normal to the life of a child/teen, such as visiting a friend’s house, </w:t>
      </w:r>
      <w:r w:rsidR="00812854">
        <w:t xml:space="preserve">afterschool activities, </w:t>
      </w:r>
      <w:r w:rsidR="004C5587">
        <w:t xml:space="preserve">going on school trips, etc. The two new determinations are: (1) </w:t>
      </w:r>
      <w:r w:rsidR="00C8056E" w:rsidRPr="000732B8">
        <w:t xml:space="preserve">Has DCF taken steps to ensure the child’s </w:t>
      </w:r>
      <w:r w:rsidR="00D24065" w:rsidRPr="000732B8">
        <w:t>placement</w:t>
      </w:r>
      <w:r w:rsidR="00C8056E" w:rsidRPr="000732B8">
        <w:t xml:space="preserve"> followed the reasonable and prudent parent standard?</w:t>
      </w:r>
      <w:r w:rsidR="004C5587">
        <w:t xml:space="preserve"> and (2) </w:t>
      </w:r>
      <w:r w:rsidR="00C8056E" w:rsidRPr="000732B8">
        <w:t>Has DCF taken steps to ensure the child’s placement offered the child regular ongoing opportunities to engage in age or developmentally appropriate activities, working to help develop this child’s special talent, interest or gift?</w:t>
      </w:r>
      <w:r w:rsidR="00D05E34" w:rsidRPr="000732B8">
        <w:t xml:space="preserve"> </w:t>
      </w:r>
      <w:r w:rsidR="006D6B2D">
        <w:rPr>
          <w:rFonts w:cs="Times New Roman"/>
        </w:rPr>
        <w:t>110 C.M.R. 6.02(9)(f)</w:t>
      </w:r>
    </w:p>
    <w:p w:rsidR="00174C79" w:rsidRPr="006D6B2D" w:rsidRDefault="00174C79" w:rsidP="00644E09">
      <w:r w:rsidRPr="00644E09">
        <w:rPr>
          <w:u w:val="single"/>
        </w:rPr>
        <w:t>Recommendations</w:t>
      </w:r>
      <w:r w:rsidRPr="000732B8">
        <w:t xml:space="preserve"> are not binding. The policy lists a number of discussion topics, to be </w:t>
      </w:r>
      <w:r w:rsidR="00D24065" w:rsidRPr="000732B8">
        <w:t>covered</w:t>
      </w:r>
      <w:r w:rsidRPr="000732B8">
        <w:t xml:space="preserve"> in a free-form discussion, and states that recommendations should be “solicited from all participants.” </w:t>
      </w:r>
      <w:r w:rsidRPr="00960F09">
        <w:rPr>
          <w:i/>
        </w:rPr>
        <w:t>Although recommendations are not binding, if they are listed in the FCR report  they may be useful</w:t>
      </w:r>
      <w:r w:rsidR="00812854">
        <w:rPr>
          <w:i/>
        </w:rPr>
        <w:t xml:space="preserve"> to raise at trial, or</w:t>
      </w:r>
      <w:r w:rsidRPr="00960F09">
        <w:rPr>
          <w:i/>
        </w:rPr>
        <w:t xml:space="preserve"> in later motions or informal advocacy on those issues.</w:t>
      </w:r>
      <w:r w:rsidRPr="000732B8">
        <w:t xml:space="preserve"> In addition to the determinations, suggested </w:t>
      </w:r>
      <w:r w:rsidR="00960F09">
        <w:t xml:space="preserve">topics from the policy include: </w:t>
      </w:r>
      <w:r w:rsidRPr="000732B8">
        <w:t>Discussion of recent reviews such as 29B hearings and 6-week reviews</w:t>
      </w:r>
      <w:r w:rsidR="00960F09">
        <w:t>, h</w:t>
      </w:r>
      <w:r w:rsidRPr="000732B8">
        <w:t>ealth care and</w:t>
      </w:r>
      <w:r w:rsidR="00960F09">
        <w:t xml:space="preserve"> educational needs of the child, </w:t>
      </w:r>
      <w:r w:rsidRPr="000732B8">
        <w:t>“Whether the child ... is or should be placed with k</w:t>
      </w:r>
      <w:r w:rsidR="00960F09">
        <w:t>in and/or siblings”, t</w:t>
      </w:r>
      <w:r w:rsidRPr="000732B8">
        <w:t>he schedule for visits with pare</w:t>
      </w:r>
      <w:r w:rsidR="00960F09">
        <w:t>nts, siblings, and grandparents, and, f</w:t>
      </w:r>
      <w:r w:rsidRPr="000732B8">
        <w:t>or older children or youths, the plan for potentially signing on with DCF after age 18</w:t>
      </w:r>
      <w:r w:rsidR="00CE42A3">
        <w:t xml:space="preserve">. </w:t>
      </w:r>
      <w:r w:rsidR="00EA319E">
        <w:t xml:space="preserve">See </w:t>
      </w:r>
      <w:r w:rsidR="00EA319E">
        <w:rPr>
          <w:rFonts w:cs="Times New Roman"/>
        </w:rPr>
        <w:t>§ I of the policy for more information about recommendations.</w:t>
      </w:r>
      <w:r w:rsidR="006D6B2D">
        <w:rPr>
          <w:rFonts w:cs="Times New Roman"/>
        </w:rPr>
        <w:t xml:space="preserve"> Under the regulations, </w:t>
      </w:r>
      <w:r w:rsidR="006D6B2D">
        <w:rPr>
          <w:rFonts w:cs="Times New Roman"/>
          <w:i/>
        </w:rPr>
        <w:t>discussion</w:t>
      </w:r>
      <w:r w:rsidR="006D6B2D">
        <w:rPr>
          <w:rFonts w:cs="Times New Roman"/>
        </w:rPr>
        <w:t xml:space="preserve"> of signing on after age 18 is mandatory. 110 C.M.R. 6.02(11).</w:t>
      </w:r>
    </w:p>
    <w:p w:rsidR="00E5289F" w:rsidRPr="00960F09" w:rsidRDefault="00E5289F" w:rsidP="00644E09">
      <w:pPr>
        <w:rPr>
          <w:i/>
        </w:rPr>
      </w:pPr>
      <w:r w:rsidRPr="00960F09">
        <w:rPr>
          <w:i/>
        </w:rPr>
        <w:t>When representing older children who want to sign on with DCF</w:t>
      </w:r>
      <w:r w:rsidR="00107AF6">
        <w:rPr>
          <w:i/>
        </w:rPr>
        <w:t xml:space="preserve"> at age 18</w:t>
      </w:r>
      <w:r w:rsidRPr="00960F09">
        <w:rPr>
          <w:i/>
        </w:rPr>
        <w:t>, try to make sure the plan to sign on is discussed. The policy states that this discussion must happen if the child is aged 17 years 6 months or older, but it may be helpful to advocate to have the discussion earlier, if the next FCR will not happen until the child is almost 18.</w:t>
      </w:r>
      <w:r w:rsidR="00812854">
        <w:rPr>
          <w:i/>
        </w:rPr>
        <w:t xml:space="preserve"> See CPCS’s memo on </w:t>
      </w:r>
      <w:r w:rsidR="004774B2">
        <w:rPr>
          <w:i/>
        </w:rPr>
        <w:t xml:space="preserve">new regulations regarding </w:t>
      </w:r>
      <w:r w:rsidR="00812854">
        <w:rPr>
          <w:i/>
        </w:rPr>
        <w:t xml:space="preserve">permanency hearings </w:t>
      </w:r>
      <w:r w:rsidR="004774B2">
        <w:rPr>
          <w:i/>
        </w:rPr>
        <w:t xml:space="preserve">and young adult services – out shortly – </w:t>
      </w:r>
      <w:r w:rsidR="00812854">
        <w:rPr>
          <w:i/>
        </w:rPr>
        <w:t>for more detail.</w:t>
      </w:r>
    </w:p>
    <w:p w:rsidR="00AA00B7" w:rsidRPr="00960F09" w:rsidRDefault="00AA00B7" w:rsidP="00644E09">
      <w:pPr>
        <w:rPr>
          <w:i/>
        </w:rPr>
      </w:pPr>
      <w:r w:rsidRPr="00960F09">
        <w:rPr>
          <w:i/>
        </w:rPr>
        <w:t>The policy provides for discussion of safety concerns for “consumer children” even if they are not in placement. It’s a good idea to make sure your client is prepared for this discussion if they have some children living at home with them.</w:t>
      </w:r>
    </w:p>
    <w:p w:rsidR="003C0D6F" w:rsidRPr="00C328ED" w:rsidRDefault="003C0D6F">
      <w:pPr>
        <w:rPr>
          <w:b/>
          <w:u w:val="single"/>
        </w:rPr>
      </w:pPr>
      <w:r w:rsidRPr="00C328ED">
        <w:rPr>
          <w:b/>
          <w:u w:val="single"/>
        </w:rPr>
        <w:t>After the Review</w:t>
      </w:r>
    </w:p>
    <w:p w:rsidR="003C0D6F" w:rsidRPr="00C328ED" w:rsidRDefault="003C0D6F" w:rsidP="00C328ED">
      <w:pPr>
        <w:rPr>
          <w:b/>
        </w:rPr>
      </w:pPr>
      <w:r w:rsidRPr="00C328ED">
        <w:rPr>
          <w:b/>
        </w:rPr>
        <w:t>When will I find out the results of the review?</w:t>
      </w:r>
    </w:p>
    <w:p w:rsidR="00A83618" w:rsidRDefault="00C328ED" w:rsidP="00C328ED">
      <w:r>
        <w:t>Under the policy y</w:t>
      </w:r>
      <w:r w:rsidR="00A83618" w:rsidRPr="000732B8">
        <w:t xml:space="preserve">ou should receive the report within 40 working days of the review, allowing for mail to arrive—about 8 weeks. </w:t>
      </w:r>
      <w:r>
        <w:t>Reports may arrive sooner or later than this period. If your report takes a long time to arrive and you are not sure what the determinations were, ask DCF. The determinations must be noted in the computer system within 30 days of the review.</w:t>
      </w:r>
    </w:p>
    <w:p w:rsidR="00C52BC2" w:rsidRDefault="00C52BC2" w:rsidP="00C328ED">
      <w:r>
        <w:t>DCF may begin issuing reports through the online attorney portal, hopefully allowing for faster delivery. Some reports are already being sent by email.</w:t>
      </w:r>
    </w:p>
    <w:p w:rsidR="006D6B2D" w:rsidRPr="000732B8" w:rsidRDefault="006D6B2D" w:rsidP="00C328ED">
      <w:r>
        <w:t xml:space="preserve">The regulations state only that certain participants, including attorneys for parents and children, shall receive a copy of the report. 110 C.M.R. </w:t>
      </w:r>
      <w:r w:rsidR="002435D2">
        <w:t>12</w:t>
      </w:r>
    </w:p>
    <w:p w:rsidR="00C328ED" w:rsidRDefault="00C328ED" w:rsidP="00C328ED">
      <w:pPr>
        <w:rPr>
          <w:i/>
        </w:rPr>
      </w:pPr>
      <w:r w:rsidRPr="00C328ED">
        <w:rPr>
          <w:i/>
        </w:rPr>
        <w:t xml:space="preserve">If you represent a child aged 14 or older, or a parent of a child that age, consider warning your client that the child will receive a copy of </w:t>
      </w:r>
      <w:r w:rsidR="00107AF6">
        <w:rPr>
          <w:i/>
        </w:rPr>
        <w:t>the</w:t>
      </w:r>
      <w:r w:rsidRPr="00C328ED">
        <w:rPr>
          <w:i/>
        </w:rPr>
        <w:t xml:space="preserve"> report in the mail. Especially if the child did not attend the review, it can be upsetting for a child to receive an often context-less report full of information about a parent’s alleged shortcomings.</w:t>
      </w:r>
    </w:p>
    <w:p w:rsidR="00AF5BC5" w:rsidRPr="00C328ED" w:rsidRDefault="00AF5BC5" w:rsidP="00C328ED">
      <w:pPr>
        <w:rPr>
          <w:i/>
        </w:rPr>
      </w:pPr>
      <w:r>
        <w:rPr>
          <w:i/>
        </w:rPr>
        <w:t>If your client requires an interpreter, consider asking DC</w:t>
      </w:r>
      <w:r w:rsidR="00812854">
        <w:rPr>
          <w:i/>
        </w:rPr>
        <w:t xml:space="preserve">F to have the report translated or requesting funds </w:t>
      </w:r>
      <w:r w:rsidR="004774B2">
        <w:rPr>
          <w:i/>
        </w:rPr>
        <w:t>to pay for a translation</w:t>
      </w:r>
      <w:r w:rsidR="00812854">
        <w:rPr>
          <w:i/>
        </w:rPr>
        <w:t>.</w:t>
      </w:r>
    </w:p>
    <w:p w:rsidR="003C0D6F" w:rsidRPr="00C328ED" w:rsidRDefault="003C0D6F" w:rsidP="00C328ED">
      <w:pPr>
        <w:rPr>
          <w:b/>
        </w:rPr>
      </w:pPr>
      <w:r w:rsidRPr="00C328ED">
        <w:rPr>
          <w:b/>
        </w:rPr>
        <w:t>How can I appeal the review?</w:t>
      </w:r>
    </w:p>
    <w:p w:rsidR="00EA319E" w:rsidRDefault="00A637B3" w:rsidP="00C328ED">
      <w:r w:rsidRPr="00C328ED">
        <w:rPr>
          <w:u w:val="single"/>
        </w:rPr>
        <w:t>Goal Changes</w:t>
      </w:r>
      <w:r w:rsidRPr="000732B8">
        <w:t xml:space="preserve"> can be challenged through the fair hearing process. A fair hearing must be requested with</w:t>
      </w:r>
      <w:r w:rsidR="00107AF6">
        <w:t>in</w:t>
      </w:r>
      <w:r w:rsidRPr="000732B8">
        <w:t xml:space="preserve"> 30 days of receiving the report. Goals can also be cha</w:t>
      </w:r>
      <w:r w:rsidR="00812854">
        <w:t>llenged in court at permanency hearings/29Bs</w:t>
      </w:r>
      <w:r w:rsidRPr="000732B8">
        <w:t>.</w:t>
      </w:r>
      <w:r w:rsidR="00C328ED">
        <w:t xml:space="preserve"> </w:t>
      </w:r>
    </w:p>
    <w:p w:rsidR="00A83618" w:rsidRDefault="00A637B3" w:rsidP="00C328ED">
      <w:r w:rsidRPr="00C328ED">
        <w:rPr>
          <w:u w:val="single"/>
        </w:rPr>
        <w:t>Other Determinations</w:t>
      </w:r>
      <w:r w:rsidR="00507143" w:rsidRPr="000732B8">
        <w:t xml:space="preserve"> </w:t>
      </w:r>
      <w:r w:rsidRPr="000732B8">
        <w:t>can be appealed through the DCF grievance process.</w:t>
      </w:r>
    </w:p>
    <w:p w:rsidR="00EA319E" w:rsidRPr="000732B8" w:rsidRDefault="00EA319E" w:rsidP="00C328ED">
      <w:r>
        <w:t>See</w:t>
      </w:r>
      <w:r w:rsidR="003230F8">
        <w:t xml:space="preserve"> the policy</w:t>
      </w:r>
      <w:r>
        <w:t xml:space="preserve"> </w:t>
      </w:r>
      <w:r>
        <w:rPr>
          <w:rFonts w:cs="Times New Roman"/>
        </w:rPr>
        <w:t xml:space="preserve">§ II.F.7 </w:t>
      </w:r>
      <w:r w:rsidR="002435D2">
        <w:rPr>
          <w:rFonts w:cs="Times New Roman"/>
        </w:rPr>
        <w:t xml:space="preserve">and 110 C.M.R. 6.02(14) </w:t>
      </w:r>
      <w:r>
        <w:rPr>
          <w:rFonts w:cs="Times New Roman"/>
        </w:rPr>
        <w:t>for more information about administrative appeals.</w:t>
      </w:r>
    </w:p>
    <w:sectPr w:rsidR="00EA319E" w:rsidRPr="000732B8" w:rsidSect="004D1C6C">
      <w:footerReference w:type="default" r:id="rId9"/>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056" w:rsidRDefault="00A21056" w:rsidP="00053BF3">
      <w:pPr>
        <w:spacing w:after="0" w:line="240" w:lineRule="auto"/>
      </w:pPr>
      <w:r>
        <w:separator/>
      </w:r>
    </w:p>
  </w:endnote>
  <w:endnote w:type="continuationSeparator" w:id="0">
    <w:p w:rsidR="00A21056" w:rsidRDefault="00A21056" w:rsidP="00053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595225"/>
      <w:docPartObj>
        <w:docPartGallery w:val="Page Numbers (Bottom of Page)"/>
        <w:docPartUnique/>
      </w:docPartObj>
    </w:sdtPr>
    <w:sdtEndPr>
      <w:rPr>
        <w:noProof/>
      </w:rPr>
    </w:sdtEndPr>
    <w:sdtContent>
      <w:p w:rsidR="00A21056" w:rsidRDefault="00A21056">
        <w:pPr>
          <w:pStyle w:val="Footer"/>
          <w:jc w:val="right"/>
        </w:pPr>
        <w:r>
          <w:fldChar w:fldCharType="begin"/>
        </w:r>
        <w:r>
          <w:instrText xml:space="preserve"> PAGE   \* MERGEFORMAT </w:instrText>
        </w:r>
        <w:r>
          <w:fldChar w:fldCharType="separate"/>
        </w:r>
        <w:r w:rsidR="008840EA">
          <w:rPr>
            <w:noProof/>
          </w:rPr>
          <w:t>2</w:t>
        </w:r>
        <w:r>
          <w:rPr>
            <w:noProof/>
          </w:rPr>
          <w:fldChar w:fldCharType="end"/>
        </w:r>
      </w:p>
    </w:sdtContent>
  </w:sdt>
  <w:p w:rsidR="00A21056" w:rsidRDefault="00A210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056" w:rsidRDefault="00A21056" w:rsidP="00053BF3">
      <w:pPr>
        <w:spacing w:after="0" w:line="240" w:lineRule="auto"/>
      </w:pPr>
      <w:r>
        <w:separator/>
      </w:r>
    </w:p>
  </w:footnote>
  <w:footnote w:type="continuationSeparator" w:id="0">
    <w:p w:rsidR="00A21056" w:rsidRDefault="00A21056" w:rsidP="00053B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B756E"/>
    <w:multiLevelType w:val="hybridMultilevel"/>
    <w:tmpl w:val="A11C3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DE6615D"/>
    <w:multiLevelType w:val="hybridMultilevel"/>
    <w:tmpl w:val="CD3CF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0B534A"/>
    <w:multiLevelType w:val="hybridMultilevel"/>
    <w:tmpl w:val="287CAB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E3047C"/>
    <w:multiLevelType w:val="hybridMultilevel"/>
    <w:tmpl w:val="66C2AD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D59339C"/>
    <w:multiLevelType w:val="hybridMultilevel"/>
    <w:tmpl w:val="58681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C86A15"/>
    <w:multiLevelType w:val="hybridMultilevel"/>
    <w:tmpl w:val="CBD06A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6F"/>
    <w:rsid w:val="00053BF3"/>
    <w:rsid w:val="000732B8"/>
    <w:rsid w:val="000B6F61"/>
    <w:rsid w:val="00107AF6"/>
    <w:rsid w:val="00174C79"/>
    <w:rsid w:val="00175913"/>
    <w:rsid w:val="0018114B"/>
    <w:rsid w:val="00193562"/>
    <w:rsid w:val="001A0AAE"/>
    <w:rsid w:val="001A4A41"/>
    <w:rsid w:val="001B1D87"/>
    <w:rsid w:val="001E3037"/>
    <w:rsid w:val="0020382D"/>
    <w:rsid w:val="00215120"/>
    <w:rsid w:val="0021600B"/>
    <w:rsid w:val="00222D7A"/>
    <w:rsid w:val="00223558"/>
    <w:rsid w:val="002435D2"/>
    <w:rsid w:val="002520ED"/>
    <w:rsid w:val="00253679"/>
    <w:rsid w:val="003008F1"/>
    <w:rsid w:val="003230F8"/>
    <w:rsid w:val="00327FE4"/>
    <w:rsid w:val="00355F37"/>
    <w:rsid w:val="003771E0"/>
    <w:rsid w:val="003C0D6F"/>
    <w:rsid w:val="003D6522"/>
    <w:rsid w:val="003D6F56"/>
    <w:rsid w:val="003E6155"/>
    <w:rsid w:val="004636DD"/>
    <w:rsid w:val="004774B2"/>
    <w:rsid w:val="004C52AE"/>
    <w:rsid w:val="004C5587"/>
    <w:rsid w:val="004D1C6C"/>
    <w:rsid w:val="00507143"/>
    <w:rsid w:val="00532EF0"/>
    <w:rsid w:val="00555328"/>
    <w:rsid w:val="005A0863"/>
    <w:rsid w:val="005A318E"/>
    <w:rsid w:val="005E4474"/>
    <w:rsid w:val="006218F6"/>
    <w:rsid w:val="00644B26"/>
    <w:rsid w:val="00644E09"/>
    <w:rsid w:val="00655A35"/>
    <w:rsid w:val="006D6B2D"/>
    <w:rsid w:val="006D7F9A"/>
    <w:rsid w:val="006E711B"/>
    <w:rsid w:val="006F19E7"/>
    <w:rsid w:val="006F7455"/>
    <w:rsid w:val="007206F3"/>
    <w:rsid w:val="00765D03"/>
    <w:rsid w:val="00772C7A"/>
    <w:rsid w:val="00797E96"/>
    <w:rsid w:val="007C0A5B"/>
    <w:rsid w:val="007D0411"/>
    <w:rsid w:val="00812854"/>
    <w:rsid w:val="008840EA"/>
    <w:rsid w:val="00886A04"/>
    <w:rsid w:val="008A0592"/>
    <w:rsid w:val="008B3DC0"/>
    <w:rsid w:val="00911272"/>
    <w:rsid w:val="009221EA"/>
    <w:rsid w:val="0093656B"/>
    <w:rsid w:val="0094675E"/>
    <w:rsid w:val="00960F09"/>
    <w:rsid w:val="009D41BA"/>
    <w:rsid w:val="009F4518"/>
    <w:rsid w:val="00A21056"/>
    <w:rsid w:val="00A637B3"/>
    <w:rsid w:val="00A652DD"/>
    <w:rsid w:val="00A80D7F"/>
    <w:rsid w:val="00A83618"/>
    <w:rsid w:val="00AA00B7"/>
    <w:rsid w:val="00AB0663"/>
    <w:rsid w:val="00AB0A53"/>
    <w:rsid w:val="00AC7685"/>
    <w:rsid w:val="00AF5BC5"/>
    <w:rsid w:val="00AF6515"/>
    <w:rsid w:val="00B06810"/>
    <w:rsid w:val="00BC6402"/>
    <w:rsid w:val="00BE15AE"/>
    <w:rsid w:val="00BE6BE8"/>
    <w:rsid w:val="00C12D7E"/>
    <w:rsid w:val="00C328ED"/>
    <w:rsid w:val="00C35A7C"/>
    <w:rsid w:val="00C52BC2"/>
    <w:rsid w:val="00C63C12"/>
    <w:rsid w:val="00C8056E"/>
    <w:rsid w:val="00CA00AF"/>
    <w:rsid w:val="00CE168C"/>
    <w:rsid w:val="00CE42A3"/>
    <w:rsid w:val="00D05E34"/>
    <w:rsid w:val="00D24065"/>
    <w:rsid w:val="00D364EA"/>
    <w:rsid w:val="00D40F22"/>
    <w:rsid w:val="00DA3F14"/>
    <w:rsid w:val="00DB0B0B"/>
    <w:rsid w:val="00DB5F73"/>
    <w:rsid w:val="00E5289F"/>
    <w:rsid w:val="00E803B8"/>
    <w:rsid w:val="00E94BA5"/>
    <w:rsid w:val="00EA319E"/>
    <w:rsid w:val="00EA5AEC"/>
    <w:rsid w:val="00EE177D"/>
    <w:rsid w:val="00F60B5D"/>
    <w:rsid w:val="00FB59CD"/>
    <w:rsid w:val="00FC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D6F"/>
    <w:pPr>
      <w:ind w:left="720"/>
      <w:contextualSpacing/>
    </w:pPr>
  </w:style>
  <w:style w:type="paragraph" w:styleId="Header">
    <w:name w:val="header"/>
    <w:basedOn w:val="Normal"/>
    <w:link w:val="HeaderChar"/>
    <w:uiPriority w:val="99"/>
    <w:unhideWhenUsed/>
    <w:rsid w:val="00053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BF3"/>
  </w:style>
  <w:style w:type="paragraph" w:styleId="Footer">
    <w:name w:val="footer"/>
    <w:basedOn w:val="Normal"/>
    <w:link w:val="FooterChar"/>
    <w:uiPriority w:val="99"/>
    <w:unhideWhenUsed/>
    <w:rsid w:val="00053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BF3"/>
  </w:style>
  <w:style w:type="paragraph" w:styleId="Title">
    <w:name w:val="Title"/>
    <w:basedOn w:val="Normal"/>
    <w:link w:val="TitleChar"/>
    <w:qFormat/>
    <w:rsid w:val="0018114B"/>
    <w:pPr>
      <w:spacing w:after="0" w:line="240" w:lineRule="auto"/>
      <w:jc w:val="center"/>
    </w:pPr>
    <w:rPr>
      <w:rFonts w:ascii="French Script MT" w:eastAsia="Times New Roman" w:hAnsi="French Script MT" w:cs="Times New Roman"/>
      <w:b/>
      <w:i/>
      <w:sz w:val="52"/>
      <w:szCs w:val="20"/>
    </w:rPr>
  </w:style>
  <w:style w:type="character" w:customStyle="1" w:styleId="TitleChar">
    <w:name w:val="Title Char"/>
    <w:basedOn w:val="DefaultParagraphFont"/>
    <w:link w:val="Title"/>
    <w:rsid w:val="0018114B"/>
    <w:rPr>
      <w:rFonts w:ascii="French Script MT" w:eastAsia="Times New Roman" w:hAnsi="French Script MT" w:cs="Times New Roman"/>
      <w:b/>
      <w:i/>
      <w:sz w:val="52"/>
      <w:szCs w:val="20"/>
    </w:rPr>
  </w:style>
  <w:style w:type="paragraph" w:styleId="Subtitle">
    <w:name w:val="Subtitle"/>
    <w:basedOn w:val="Normal"/>
    <w:link w:val="SubtitleChar"/>
    <w:qFormat/>
    <w:rsid w:val="0018114B"/>
    <w:pPr>
      <w:spacing w:after="0" w:line="240" w:lineRule="auto"/>
      <w:jc w:val="center"/>
    </w:pPr>
    <w:rPr>
      <w:rFonts w:ascii="French Script MT" w:eastAsia="Times New Roman" w:hAnsi="French Script MT" w:cs="Times New Roman"/>
      <w:b/>
      <w:i/>
      <w:sz w:val="40"/>
      <w:szCs w:val="20"/>
    </w:rPr>
  </w:style>
  <w:style w:type="character" w:customStyle="1" w:styleId="SubtitleChar">
    <w:name w:val="Subtitle Char"/>
    <w:basedOn w:val="DefaultParagraphFont"/>
    <w:link w:val="Subtitle"/>
    <w:rsid w:val="0018114B"/>
    <w:rPr>
      <w:rFonts w:ascii="French Script MT" w:eastAsia="Times New Roman" w:hAnsi="French Script MT" w:cs="Times New Roman"/>
      <w:b/>
      <w:i/>
      <w:sz w:val="40"/>
      <w:szCs w:val="20"/>
    </w:rPr>
  </w:style>
  <w:style w:type="paragraph" w:styleId="BalloonText">
    <w:name w:val="Balloon Text"/>
    <w:basedOn w:val="Normal"/>
    <w:link w:val="BalloonTextChar"/>
    <w:uiPriority w:val="99"/>
    <w:semiHidden/>
    <w:unhideWhenUsed/>
    <w:rsid w:val="008B3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D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D6F"/>
    <w:pPr>
      <w:ind w:left="720"/>
      <w:contextualSpacing/>
    </w:pPr>
  </w:style>
  <w:style w:type="paragraph" w:styleId="Header">
    <w:name w:val="header"/>
    <w:basedOn w:val="Normal"/>
    <w:link w:val="HeaderChar"/>
    <w:uiPriority w:val="99"/>
    <w:unhideWhenUsed/>
    <w:rsid w:val="00053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BF3"/>
  </w:style>
  <w:style w:type="paragraph" w:styleId="Footer">
    <w:name w:val="footer"/>
    <w:basedOn w:val="Normal"/>
    <w:link w:val="FooterChar"/>
    <w:uiPriority w:val="99"/>
    <w:unhideWhenUsed/>
    <w:rsid w:val="00053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BF3"/>
  </w:style>
  <w:style w:type="paragraph" w:styleId="Title">
    <w:name w:val="Title"/>
    <w:basedOn w:val="Normal"/>
    <w:link w:val="TitleChar"/>
    <w:qFormat/>
    <w:rsid w:val="0018114B"/>
    <w:pPr>
      <w:spacing w:after="0" w:line="240" w:lineRule="auto"/>
      <w:jc w:val="center"/>
    </w:pPr>
    <w:rPr>
      <w:rFonts w:ascii="French Script MT" w:eastAsia="Times New Roman" w:hAnsi="French Script MT" w:cs="Times New Roman"/>
      <w:b/>
      <w:i/>
      <w:sz w:val="52"/>
      <w:szCs w:val="20"/>
    </w:rPr>
  </w:style>
  <w:style w:type="character" w:customStyle="1" w:styleId="TitleChar">
    <w:name w:val="Title Char"/>
    <w:basedOn w:val="DefaultParagraphFont"/>
    <w:link w:val="Title"/>
    <w:rsid w:val="0018114B"/>
    <w:rPr>
      <w:rFonts w:ascii="French Script MT" w:eastAsia="Times New Roman" w:hAnsi="French Script MT" w:cs="Times New Roman"/>
      <w:b/>
      <w:i/>
      <w:sz w:val="52"/>
      <w:szCs w:val="20"/>
    </w:rPr>
  </w:style>
  <w:style w:type="paragraph" w:styleId="Subtitle">
    <w:name w:val="Subtitle"/>
    <w:basedOn w:val="Normal"/>
    <w:link w:val="SubtitleChar"/>
    <w:qFormat/>
    <w:rsid w:val="0018114B"/>
    <w:pPr>
      <w:spacing w:after="0" w:line="240" w:lineRule="auto"/>
      <w:jc w:val="center"/>
    </w:pPr>
    <w:rPr>
      <w:rFonts w:ascii="French Script MT" w:eastAsia="Times New Roman" w:hAnsi="French Script MT" w:cs="Times New Roman"/>
      <w:b/>
      <w:i/>
      <w:sz w:val="40"/>
      <w:szCs w:val="20"/>
    </w:rPr>
  </w:style>
  <w:style w:type="character" w:customStyle="1" w:styleId="SubtitleChar">
    <w:name w:val="Subtitle Char"/>
    <w:basedOn w:val="DefaultParagraphFont"/>
    <w:link w:val="Subtitle"/>
    <w:rsid w:val="0018114B"/>
    <w:rPr>
      <w:rFonts w:ascii="French Script MT" w:eastAsia="Times New Roman" w:hAnsi="French Script MT" w:cs="Times New Roman"/>
      <w:b/>
      <w:i/>
      <w:sz w:val="40"/>
      <w:szCs w:val="20"/>
    </w:rPr>
  </w:style>
  <w:style w:type="paragraph" w:styleId="BalloonText">
    <w:name w:val="Balloon Text"/>
    <w:basedOn w:val="Normal"/>
    <w:link w:val="BalloonTextChar"/>
    <w:uiPriority w:val="99"/>
    <w:semiHidden/>
    <w:unhideWhenUsed/>
    <w:rsid w:val="008B3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D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5073">
      <w:bodyDiv w:val="1"/>
      <w:marLeft w:val="0"/>
      <w:marRight w:val="0"/>
      <w:marTop w:val="0"/>
      <w:marBottom w:val="0"/>
      <w:divBdr>
        <w:top w:val="none" w:sz="0" w:space="0" w:color="auto"/>
        <w:left w:val="none" w:sz="0" w:space="0" w:color="auto"/>
        <w:bottom w:val="none" w:sz="0" w:space="0" w:color="auto"/>
        <w:right w:val="none" w:sz="0" w:space="0" w:color="auto"/>
      </w:divBdr>
      <w:divsChild>
        <w:div w:id="1540820426">
          <w:marLeft w:val="0"/>
          <w:marRight w:val="0"/>
          <w:marTop w:val="0"/>
          <w:marBottom w:val="0"/>
          <w:divBdr>
            <w:top w:val="none" w:sz="0" w:space="0" w:color="auto"/>
            <w:left w:val="none" w:sz="0" w:space="0" w:color="auto"/>
            <w:bottom w:val="none" w:sz="0" w:space="0" w:color="auto"/>
            <w:right w:val="none" w:sz="0" w:space="0" w:color="auto"/>
          </w:divBdr>
          <w:divsChild>
            <w:div w:id="1562864313">
              <w:marLeft w:val="0"/>
              <w:marRight w:val="0"/>
              <w:marTop w:val="0"/>
              <w:marBottom w:val="0"/>
              <w:divBdr>
                <w:top w:val="none" w:sz="0" w:space="0" w:color="auto"/>
                <w:left w:val="none" w:sz="0" w:space="0" w:color="auto"/>
                <w:bottom w:val="none" w:sz="0" w:space="0" w:color="auto"/>
                <w:right w:val="none" w:sz="0" w:space="0" w:color="auto"/>
              </w:divBdr>
              <w:divsChild>
                <w:div w:id="9481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59073">
      <w:bodyDiv w:val="1"/>
      <w:marLeft w:val="0"/>
      <w:marRight w:val="0"/>
      <w:marTop w:val="0"/>
      <w:marBottom w:val="0"/>
      <w:divBdr>
        <w:top w:val="none" w:sz="0" w:space="0" w:color="auto"/>
        <w:left w:val="none" w:sz="0" w:space="0" w:color="auto"/>
        <w:bottom w:val="none" w:sz="0" w:space="0" w:color="auto"/>
        <w:right w:val="none" w:sz="0" w:space="0" w:color="auto"/>
      </w:divBdr>
      <w:divsChild>
        <w:div w:id="339042949">
          <w:marLeft w:val="0"/>
          <w:marRight w:val="0"/>
          <w:marTop w:val="0"/>
          <w:marBottom w:val="0"/>
          <w:divBdr>
            <w:top w:val="none" w:sz="0" w:space="0" w:color="auto"/>
            <w:left w:val="none" w:sz="0" w:space="0" w:color="auto"/>
            <w:bottom w:val="none" w:sz="0" w:space="0" w:color="auto"/>
            <w:right w:val="none" w:sz="0" w:space="0" w:color="auto"/>
          </w:divBdr>
          <w:divsChild>
            <w:div w:id="889195184">
              <w:marLeft w:val="0"/>
              <w:marRight w:val="0"/>
              <w:marTop w:val="0"/>
              <w:marBottom w:val="0"/>
              <w:divBdr>
                <w:top w:val="none" w:sz="0" w:space="0" w:color="auto"/>
                <w:left w:val="none" w:sz="0" w:space="0" w:color="auto"/>
                <w:bottom w:val="none" w:sz="0" w:space="0" w:color="auto"/>
                <w:right w:val="none" w:sz="0" w:space="0" w:color="auto"/>
              </w:divBdr>
              <w:divsChild>
                <w:div w:id="19048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15729">
      <w:bodyDiv w:val="1"/>
      <w:marLeft w:val="0"/>
      <w:marRight w:val="0"/>
      <w:marTop w:val="0"/>
      <w:marBottom w:val="0"/>
      <w:divBdr>
        <w:top w:val="none" w:sz="0" w:space="0" w:color="auto"/>
        <w:left w:val="none" w:sz="0" w:space="0" w:color="auto"/>
        <w:bottom w:val="none" w:sz="0" w:space="0" w:color="auto"/>
        <w:right w:val="none" w:sz="0" w:space="0" w:color="auto"/>
      </w:divBdr>
      <w:divsChild>
        <w:div w:id="1543857770">
          <w:marLeft w:val="0"/>
          <w:marRight w:val="0"/>
          <w:marTop w:val="0"/>
          <w:marBottom w:val="0"/>
          <w:divBdr>
            <w:top w:val="none" w:sz="0" w:space="0" w:color="auto"/>
            <w:left w:val="none" w:sz="0" w:space="0" w:color="auto"/>
            <w:bottom w:val="none" w:sz="0" w:space="0" w:color="auto"/>
            <w:right w:val="none" w:sz="0" w:space="0" w:color="auto"/>
          </w:divBdr>
          <w:divsChild>
            <w:div w:id="932934186">
              <w:marLeft w:val="0"/>
              <w:marRight w:val="0"/>
              <w:marTop w:val="0"/>
              <w:marBottom w:val="0"/>
              <w:divBdr>
                <w:top w:val="none" w:sz="0" w:space="0" w:color="auto"/>
                <w:left w:val="none" w:sz="0" w:space="0" w:color="auto"/>
                <w:bottom w:val="none" w:sz="0" w:space="0" w:color="auto"/>
                <w:right w:val="none" w:sz="0" w:space="0" w:color="auto"/>
              </w:divBdr>
              <w:divsChild>
                <w:div w:id="7689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03548">
      <w:bodyDiv w:val="1"/>
      <w:marLeft w:val="0"/>
      <w:marRight w:val="0"/>
      <w:marTop w:val="0"/>
      <w:marBottom w:val="0"/>
      <w:divBdr>
        <w:top w:val="none" w:sz="0" w:space="0" w:color="auto"/>
        <w:left w:val="none" w:sz="0" w:space="0" w:color="auto"/>
        <w:bottom w:val="none" w:sz="0" w:space="0" w:color="auto"/>
        <w:right w:val="none" w:sz="0" w:space="0" w:color="auto"/>
      </w:divBdr>
      <w:divsChild>
        <w:div w:id="1641766540">
          <w:marLeft w:val="0"/>
          <w:marRight w:val="0"/>
          <w:marTop w:val="0"/>
          <w:marBottom w:val="0"/>
          <w:divBdr>
            <w:top w:val="none" w:sz="0" w:space="0" w:color="auto"/>
            <w:left w:val="none" w:sz="0" w:space="0" w:color="auto"/>
            <w:bottom w:val="none" w:sz="0" w:space="0" w:color="auto"/>
            <w:right w:val="none" w:sz="0" w:space="0" w:color="auto"/>
          </w:divBdr>
          <w:divsChild>
            <w:div w:id="1257977779">
              <w:marLeft w:val="0"/>
              <w:marRight w:val="0"/>
              <w:marTop w:val="0"/>
              <w:marBottom w:val="0"/>
              <w:divBdr>
                <w:top w:val="none" w:sz="0" w:space="0" w:color="auto"/>
                <w:left w:val="none" w:sz="0" w:space="0" w:color="auto"/>
                <w:bottom w:val="none" w:sz="0" w:space="0" w:color="auto"/>
                <w:right w:val="none" w:sz="0" w:space="0" w:color="auto"/>
              </w:divBdr>
              <w:divsChild>
                <w:div w:id="15004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B29C1-690A-474D-8F34-F2F51CBB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2919</Words>
  <Characters>16641</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19521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Baker</dc:creator>
  <cp:lastModifiedBy>Elizabeth Broderick</cp:lastModifiedBy>
  <cp:revision>2</cp:revision>
  <cp:lastPrinted>2019-10-03T16:33:00Z</cp:lastPrinted>
  <dcterms:created xsi:type="dcterms:W3CDTF">2019-11-08T14:00:00Z</dcterms:created>
  <dcterms:modified xsi:type="dcterms:W3CDTF">2019-11-08T14:00:00Z</dcterms:modified>
</cp:coreProperties>
</file>