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D0" w:rsidRDefault="00267DD0" w:rsidP="00267DD0">
      <w:pPr>
        <w:spacing w:before="100" w:beforeAutospacing="1" w:after="100" w:afterAutospacing="1" w:line="240" w:lineRule="auto"/>
        <w:contextualSpacing/>
        <w:rPr>
          <w:rFonts w:eastAsia="Times New Roman"/>
          <w:color w:val="000000"/>
        </w:rPr>
      </w:pPr>
      <w:bookmarkStart w:id="0" w:name="_GoBack"/>
      <w:bookmarkEnd w:id="0"/>
      <w:r w:rsidRPr="00267DD0">
        <w:rPr>
          <w:rFonts w:eastAsia="Times New Roman"/>
          <w:bCs/>
          <w:i/>
          <w:color w:val="000000"/>
        </w:rPr>
        <w:t>Commonwealth v. Santos</w:t>
      </w:r>
      <w:r>
        <w:rPr>
          <w:rFonts w:eastAsia="Times New Roman"/>
          <w:bCs/>
          <w:color w:val="000000"/>
        </w:rPr>
        <w:t xml:space="preserve">, 94 Mass. App. Ct. </w:t>
      </w:r>
      <w:r>
        <w:rPr>
          <w:rFonts w:eastAsia="Times New Roman"/>
          <w:color w:val="000000"/>
        </w:rPr>
        <w:t>558 (2018)</w:t>
      </w:r>
      <w:r w:rsidR="00C51C53">
        <w:rPr>
          <w:rFonts w:eastAsia="Times New Roman"/>
          <w:color w:val="000000"/>
        </w:rPr>
        <w:t xml:space="preserve"> [</w:t>
      </w:r>
      <w:hyperlink r:id="rId5" w:history="1">
        <w:r w:rsidR="00C51C53" w:rsidRPr="00C51C53">
          <w:rPr>
            <w:rStyle w:val="Hyperlink"/>
            <w:rFonts w:eastAsia="Times New Roman"/>
          </w:rPr>
          <w:t>Full Opinion</w:t>
        </w:r>
      </w:hyperlink>
      <w:r w:rsidR="00C51C53">
        <w:rPr>
          <w:rFonts w:eastAsia="Times New Roman"/>
          <w:color w:val="000000"/>
        </w:rPr>
        <w:t xml:space="preserve">] </w:t>
      </w:r>
    </w:p>
    <w:p w:rsidR="00267DD0" w:rsidRDefault="00267DD0" w:rsidP="00267DD0">
      <w:pPr>
        <w:spacing w:before="100" w:beforeAutospacing="1" w:after="100" w:afterAutospacing="1" w:line="240" w:lineRule="auto"/>
        <w:contextualSpacing/>
        <w:rPr>
          <w:rFonts w:eastAsia="Times New Roman"/>
          <w:color w:val="000000"/>
        </w:rPr>
      </w:pPr>
      <w:r>
        <w:rPr>
          <w:rFonts w:eastAsia="Times New Roman"/>
          <w:color w:val="000000"/>
        </w:rPr>
        <w:t xml:space="preserve">Summary by Katy Krywonis, CAFL Training Unit </w:t>
      </w:r>
    </w:p>
    <w:p w:rsidR="00DA27B1" w:rsidRDefault="00DA27B1" w:rsidP="00267DD0">
      <w:pPr>
        <w:spacing w:before="100" w:beforeAutospacing="1" w:after="100" w:afterAutospacing="1" w:line="240" w:lineRule="auto"/>
        <w:contextualSpacing/>
        <w:rPr>
          <w:rFonts w:eastAsia="Times New Roman"/>
          <w:color w:val="000000"/>
        </w:rPr>
      </w:pPr>
    </w:p>
    <w:p w:rsidR="00267DD0" w:rsidRDefault="00DA27B1" w:rsidP="00FC2F03">
      <w:pPr>
        <w:spacing w:before="100" w:beforeAutospacing="1" w:after="100" w:afterAutospacing="1" w:line="240" w:lineRule="auto"/>
        <w:contextualSpacing/>
        <w:rPr>
          <w:rFonts w:eastAsia="Times New Roman"/>
          <w:color w:val="000000"/>
        </w:rPr>
      </w:pPr>
      <w:r>
        <w:rPr>
          <w:rFonts w:eastAsia="Times New Roman"/>
          <w:color w:val="000000"/>
        </w:rPr>
        <w:t xml:space="preserve">This case is the first reported decision to address the offense of reckless endangerment of a child by inadequate supervision. </w:t>
      </w:r>
      <w:r w:rsidR="008E0485">
        <w:rPr>
          <w:rFonts w:eastAsia="Times New Roman"/>
          <w:color w:val="000000"/>
        </w:rPr>
        <w:t>The Appeals Court</w:t>
      </w:r>
      <w:r w:rsidR="00517EDA">
        <w:rPr>
          <w:rFonts w:eastAsia="Times New Roman"/>
          <w:color w:val="000000"/>
        </w:rPr>
        <w:t xml:space="preserve"> vacated</w:t>
      </w:r>
      <w:r w:rsidR="008E0485">
        <w:rPr>
          <w:rFonts w:eastAsia="Times New Roman"/>
          <w:color w:val="000000"/>
        </w:rPr>
        <w:t xml:space="preserve"> the dismissal of </w:t>
      </w:r>
      <w:r w:rsidR="00517EDA">
        <w:rPr>
          <w:rFonts w:eastAsia="Times New Roman"/>
          <w:color w:val="000000"/>
        </w:rPr>
        <w:t>a complaint charging the defendant mother with reckless endangerment of her three year old daughter</w:t>
      </w:r>
      <w:r w:rsidR="000357BC">
        <w:rPr>
          <w:rFonts w:eastAsia="Times New Roman"/>
          <w:color w:val="000000"/>
        </w:rPr>
        <w:t>. The Court held that</w:t>
      </w:r>
      <w:r w:rsidR="00517EDA">
        <w:rPr>
          <w:rFonts w:eastAsia="Times New Roman"/>
          <w:color w:val="000000"/>
        </w:rPr>
        <w:t xml:space="preserve"> once </w:t>
      </w:r>
      <w:r w:rsidR="000357BC">
        <w:rPr>
          <w:rFonts w:eastAsia="Times New Roman"/>
          <w:color w:val="000000"/>
        </w:rPr>
        <w:t>the mother</w:t>
      </w:r>
      <w:r w:rsidR="00517EDA">
        <w:rPr>
          <w:rFonts w:eastAsia="Times New Roman"/>
          <w:color w:val="000000"/>
        </w:rPr>
        <w:t xml:space="preserve"> discovered </w:t>
      </w:r>
      <w:r w:rsidR="000357BC">
        <w:rPr>
          <w:rFonts w:eastAsia="Times New Roman"/>
          <w:color w:val="000000"/>
        </w:rPr>
        <w:t>her</w:t>
      </w:r>
      <w:r w:rsidR="00517EDA">
        <w:rPr>
          <w:rFonts w:eastAsia="Times New Roman"/>
          <w:color w:val="000000"/>
        </w:rPr>
        <w:t xml:space="preserve"> child was missing, she had</w:t>
      </w:r>
      <w:r w:rsidR="000357BC">
        <w:rPr>
          <w:rFonts w:eastAsia="Times New Roman"/>
          <w:color w:val="000000"/>
        </w:rPr>
        <w:t xml:space="preserve"> a duty to search for her. E</w:t>
      </w:r>
      <w:r w:rsidR="00517EDA">
        <w:rPr>
          <w:rFonts w:eastAsia="Times New Roman"/>
          <w:color w:val="000000"/>
        </w:rPr>
        <w:t>vidence that she stopped searching and failed to enlist others to search establish</w:t>
      </w:r>
      <w:r w:rsidR="002B555C">
        <w:rPr>
          <w:rFonts w:eastAsia="Times New Roman"/>
          <w:color w:val="000000"/>
        </w:rPr>
        <w:t>ed</w:t>
      </w:r>
      <w:r w:rsidR="00517EDA">
        <w:rPr>
          <w:rFonts w:eastAsia="Times New Roman"/>
          <w:color w:val="000000"/>
        </w:rPr>
        <w:t xml:space="preserve"> probable cause that she wantonly or recklessly failed to take reasonable steps to alleviate a substantial risk of serious bodily injury to the child. </w:t>
      </w:r>
      <w:r w:rsidR="00F14A2B">
        <w:rPr>
          <w:rFonts w:eastAsia="Times New Roman"/>
          <w:color w:val="000000"/>
        </w:rPr>
        <w:t xml:space="preserve">This </w:t>
      </w:r>
      <w:r w:rsidR="000357BC">
        <w:rPr>
          <w:rFonts w:eastAsia="Times New Roman"/>
          <w:color w:val="000000"/>
        </w:rPr>
        <w:t xml:space="preserve">case is important to CAFL practice because it </w:t>
      </w:r>
      <w:r w:rsidR="00EC4751">
        <w:rPr>
          <w:rFonts w:eastAsia="Times New Roman"/>
          <w:color w:val="000000"/>
        </w:rPr>
        <w:t>shows</w:t>
      </w:r>
      <w:r w:rsidR="00F14A2B">
        <w:rPr>
          <w:rFonts w:eastAsia="Times New Roman"/>
          <w:color w:val="000000"/>
        </w:rPr>
        <w:t xml:space="preserve"> </w:t>
      </w:r>
      <w:r w:rsidR="00FC2F03">
        <w:rPr>
          <w:rFonts w:eastAsia="Times New Roman"/>
          <w:color w:val="000000"/>
        </w:rPr>
        <w:t xml:space="preserve">how courts should consider claims of inadequate supervision. </w:t>
      </w:r>
    </w:p>
    <w:p w:rsidR="00FC2F03" w:rsidRPr="00267DD0" w:rsidRDefault="00FC2F03" w:rsidP="00FC2F03">
      <w:pPr>
        <w:spacing w:before="100" w:beforeAutospacing="1" w:after="100" w:afterAutospacing="1" w:line="240" w:lineRule="auto"/>
        <w:contextualSpacing/>
        <w:rPr>
          <w:rFonts w:eastAsia="Times New Roman"/>
          <w:color w:val="000000"/>
        </w:rPr>
      </w:pPr>
    </w:p>
    <w:p w:rsidR="00267DD0" w:rsidRDefault="00905105" w:rsidP="00267DD0">
      <w:pPr>
        <w:spacing w:before="100" w:beforeAutospacing="1" w:after="100" w:afterAutospacing="1" w:line="240" w:lineRule="auto"/>
        <w:rPr>
          <w:rFonts w:eastAsia="Times New Roman"/>
        </w:rPr>
      </w:pPr>
      <w:r w:rsidRPr="00905105">
        <w:rPr>
          <w:rFonts w:eastAsia="Times New Roman"/>
          <w:i/>
        </w:rPr>
        <w:t>Facts</w:t>
      </w:r>
      <w:r w:rsidR="007B2561">
        <w:rPr>
          <w:rFonts w:eastAsia="Times New Roman"/>
        </w:rPr>
        <w:t>: T</w:t>
      </w:r>
      <w:r w:rsidR="00267DD0" w:rsidRPr="00267DD0">
        <w:rPr>
          <w:rFonts w:eastAsia="Times New Roman"/>
        </w:rPr>
        <w:t xml:space="preserve">he police received </w:t>
      </w:r>
      <w:r>
        <w:rPr>
          <w:rFonts w:eastAsia="Times New Roman"/>
        </w:rPr>
        <w:t>a report of a three year old</w:t>
      </w:r>
      <w:r w:rsidR="00267DD0" w:rsidRPr="00267DD0">
        <w:rPr>
          <w:rFonts w:eastAsia="Times New Roman"/>
        </w:rPr>
        <w:t xml:space="preserve"> female child found wandering alone in the </w:t>
      </w:r>
      <w:r>
        <w:rPr>
          <w:rFonts w:eastAsia="Times New Roman"/>
        </w:rPr>
        <w:t xml:space="preserve">elementary school </w:t>
      </w:r>
      <w:r w:rsidR="00267DD0" w:rsidRPr="00267DD0">
        <w:rPr>
          <w:rFonts w:eastAsia="Times New Roman"/>
        </w:rPr>
        <w:t>playground</w:t>
      </w:r>
      <w:r w:rsidR="006E1BF2">
        <w:rPr>
          <w:rFonts w:eastAsia="Times New Roman"/>
        </w:rPr>
        <w:t xml:space="preserve">. </w:t>
      </w:r>
      <w:r w:rsidR="0085330E">
        <w:rPr>
          <w:rFonts w:eastAsia="Times New Roman"/>
        </w:rPr>
        <w:t>S</w:t>
      </w:r>
      <w:r w:rsidR="00267DD0" w:rsidRPr="00267DD0">
        <w:rPr>
          <w:rFonts w:eastAsia="Times New Roman"/>
        </w:rPr>
        <w:t>chool employees had reported finding the same child alone in the playground</w:t>
      </w:r>
      <w:r>
        <w:rPr>
          <w:rFonts w:eastAsia="Times New Roman"/>
        </w:rPr>
        <w:t xml:space="preserve"> </w:t>
      </w:r>
      <w:r w:rsidR="006E1BF2">
        <w:rPr>
          <w:rFonts w:eastAsia="Times New Roman"/>
        </w:rPr>
        <w:t>a few weeks earlier</w:t>
      </w:r>
      <w:r w:rsidR="0085330E">
        <w:rPr>
          <w:rFonts w:eastAsia="Times New Roman"/>
        </w:rPr>
        <w:t xml:space="preserve">. </w:t>
      </w:r>
      <w:r w:rsidR="006E1BF2">
        <w:rPr>
          <w:rFonts w:eastAsia="Times New Roman"/>
        </w:rPr>
        <w:t xml:space="preserve">The </w:t>
      </w:r>
      <w:r w:rsidR="0085330E">
        <w:rPr>
          <w:rFonts w:eastAsia="Times New Roman"/>
        </w:rPr>
        <w:t xml:space="preserve">responding </w:t>
      </w:r>
      <w:r w:rsidR="006E1BF2">
        <w:rPr>
          <w:rFonts w:eastAsia="Times New Roman"/>
        </w:rPr>
        <w:t xml:space="preserve">officer </w:t>
      </w:r>
      <w:r w:rsidR="00267DD0" w:rsidRPr="00267DD0">
        <w:rPr>
          <w:rFonts w:eastAsia="Times New Roman"/>
        </w:rPr>
        <w:t>arrived at the school</w:t>
      </w:r>
      <w:r w:rsidR="006E1BF2">
        <w:rPr>
          <w:rFonts w:eastAsia="Times New Roman"/>
        </w:rPr>
        <w:t xml:space="preserve"> and saw the child in the nurse’s office. </w:t>
      </w:r>
      <w:r w:rsidR="00267DD0" w:rsidRPr="00267DD0">
        <w:rPr>
          <w:rFonts w:eastAsia="Times New Roman"/>
        </w:rPr>
        <w:t>She was wearing a T-shirt and diaper and had bare feet, but was in good he</w:t>
      </w:r>
      <w:r w:rsidR="006E1BF2">
        <w:rPr>
          <w:rFonts w:eastAsia="Times New Roman"/>
        </w:rPr>
        <w:t>alth with no cuts or abrasions.</w:t>
      </w:r>
      <w:r w:rsidR="00267DD0" w:rsidRPr="00267DD0">
        <w:rPr>
          <w:rFonts w:eastAsia="Times New Roman"/>
        </w:rPr>
        <w:t xml:space="preserve"> Meanwhile, another officer was dispatched to </w:t>
      </w:r>
      <w:r w:rsidR="006E1BF2">
        <w:rPr>
          <w:rFonts w:eastAsia="Times New Roman"/>
        </w:rPr>
        <w:t xml:space="preserve">the </w:t>
      </w:r>
      <w:r w:rsidR="0005745F">
        <w:rPr>
          <w:rFonts w:eastAsia="Times New Roman"/>
        </w:rPr>
        <w:t xml:space="preserve">family’s </w:t>
      </w:r>
      <w:r w:rsidR="00267DD0" w:rsidRPr="00267DD0">
        <w:rPr>
          <w:rFonts w:eastAsia="Times New Roman"/>
        </w:rPr>
        <w:t>apartment</w:t>
      </w:r>
      <w:r w:rsidR="007C10BE">
        <w:rPr>
          <w:rFonts w:eastAsia="Times New Roman"/>
        </w:rPr>
        <w:t xml:space="preserve"> located</w:t>
      </w:r>
      <w:r w:rsidR="00267DD0" w:rsidRPr="00267DD0">
        <w:rPr>
          <w:rFonts w:eastAsia="Times New Roman"/>
        </w:rPr>
        <w:t xml:space="preserve"> two-tenths of a</w:t>
      </w:r>
      <w:r w:rsidR="0005745F">
        <w:rPr>
          <w:rFonts w:eastAsia="Times New Roman"/>
        </w:rPr>
        <w:t xml:space="preserve"> mile from the school. He </w:t>
      </w:r>
      <w:r w:rsidR="00267DD0" w:rsidRPr="00267DD0">
        <w:rPr>
          <w:rFonts w:eastAsia="Times New Roman"/>
        </w:rPr>
        <w:t xml:space="preserve">rang the doorbell and </w:t>
      </w:r>
      <w:r w:rsidR="0005745F">
        <w:rPr>
          <w:rFonts w:eastAsia="Times New Roman"/>
        </w:rPr>
        <w:t>pounded on the door, but no one responded. D</w:t>
      </w:r>
      <w:r w:rsidR="00267DD0" w:rsidRPr="00267DD0">
        <w:rPr>
          <w:rFonts w:eastAsia="Times New Roman"/>
        </w:rPr>
        <w:t xml:space="preserve">ispatch </w:t>
      </w:r>
      <w:r w:rsidR="0005745F">
        <w:rPr>
          <w:rFonts w:eastAsia="Times New Roman"/>
        </w:rPr>
        <w:t xml:space="preserve">then </w:t>
      </w:r>
      <w:r w:rsidR="00267DD0" w:rsidRPr="00267DD0">
        <w:rPr>
          <w:rFonts w:eastAsia="Times New Roman"/>
        </w:rPr>
        <w:t xml:space="preserve">placed a telephone call to the apartment, </w:t>
      </w:r>
      <w:r w:rsidR="0005745F">
        <w:rPr>
          <w:rFonts w:eastAsia="Times New Roman"/>
        </w:rPr>
        <w:t>and the defendant came to the door</w:t>
      </w:r>
      <w:r w:rsidR="00267DD0" w:rsidRPr="00267DD0">
        <w:rPr>
          <w:rFonts w:eastAsia="Times New Roman"/>
        </w:rPr>
        <w:t xml:space="preserve">. It appeared that </w:t>
      </w:r>
      <w:r w:rsidR="0005745F">
        <w:rPr>
          <w:rFonts w:eastAsia="Times New Roman"/>
        </w:rPr>
        <w:t>she had “just awoken from sleeping” and “</w:t>
      </w:r>
      <w:r w:rsidR="00267DD0" w:rsidRPr="00267DD0">
        <w:rPr>
          <w:rFonts w:eastAsia="Times New Roman"/>
        </w:rPr>
        <w:t>was no</w:t>
      </w:r>
      <w:r w:rsidR="0005745F">
        <w:rPr>
          <w:rFonts w:eastAsia="Times New Roman"/>
        </w:rPr>
        <w:t>t alarmed, panicked, or crying."</w:t>
      </w:r>
      <w:r w:rsidR="00267DD0" w:rsidRPr="00267DD0">
        <w:rPr>
          <w:rFonts w:eastAsia="Times New Roman"/>
        </w:rPr>
        <w:t xml:space="preserve"> She did not ask </w:t>
      </w:r>
      <w:r w:rsidR="0005745F">
        <w:rPr>
          <w:rFonts w:eastAsia="Times New Roman"/>
        </w:rPr>
        <w:t xml:space="preserve">the officer </w:t>
      </w:r>
      <w:r w:rsidR="00267DD0" w:rsidRPr="00267DD0">
        <w:rPr>
          <w:rFonts w:eastAsia="Times New Roman"/>
        </w:rPr>
        <w:t xml:space="preserve">for help finding the child. </w:t>
      </w:r>
      <w:r w:rsidR="0005745F">
        <w:rPr>
          <w:rFonts w:eastAsia="Times New Roman"/>
        </w:rPr>
        <w:t xml:space="preserve">The officer </w:t>
      </w:r>
      <w:r w:rsidR="00267DD0" w:rsidRPr="00267DD0">
        <w:rPr>
          <w:rFonts w:eastAsia="Times New Roman"/>
        </w:rPr>
        <w:t xml:space="preserve">asked the defendant if she knew where her </w:t>
      </w:r>
      <w:r w:rsidR="0005745F">
        <w:rPr>
          <w:rFonts w:eastAsia="Times New Roman"/>
        </w:rPr>
        <w:t>daughter was, and she replied, “</w:t>
      </w:r>
      <w:r w:rsidR="00267DD0" w:rsidRPr="00267DD0">
        <w:rPr>
          <w:rFonts w:eastAsia="Times New Roman"/>
        </w:rPr>
        <w:t>At the playgrou</w:t>
      </w:r>
      <w:r w:rsidR="0005745F">
        <w:rPr>
          <w:rFonts w:eastAsia="Times New Roman"/>
        </w:rPr>
        <w:t>nd?”</w:t>
      </w:r>
      <w:r w:rsidR="00267DD0" w:rsidRPr="00267DD0">
        <w:rPr>
          <w:rFonts w:eastAsia="Times New Roman"/>
        </w:rPr>
        <w:t xml:space="preserve"> The defendant explained that she had set the child down in the living room to watch cartoons while she </w:t>
      </w:r>
      <w:r w:rsidR="0005745F">
        <w:rPr>
          <w:rFonts w:eastAsia="Times New Roman"/>
        </w:rPr>
        <w:t xml:space="preserve">used the bathroom upstairs </w:t>
      </w:r>
      <w:r w:rsidR="00267DD0" w:rsidRPr="00267DD0">
        <w:rPr>
          <w:rFonts w:eastAsia="Times New Roman"/>
        </w:rPr>
        <w:t>for ten to fifteen minutes</w:t>
      </w:r>
      <w:r w:rsidR="0005745F">
        <w:rPr>
          <w:rFonts w:eastAsia="Times New Roman"/>
        </w:rPr>
        <w:t>.</w:t>
      </w:r>
      <w:r w:rsidR="00267DD0" w:rsidRPr="00267DD0">
        <w:rPr>
          <w:rFonts w:eastAsia="Times New Roman"/>
        </w:rPr>
        <w:t xml:space="preserve"> When she came back down, the child was gone; the door to the apartment was open; and the key to the deadbolt had been inserted from the inside. The defendant said that she looked for the child for a</w:t>
      </w:r>
      <w:r w:rsidR="00887AAF">
        <w:rPr>
          <w:rFonts w:eastAsia="Times New Roman"/>
        </w:rPr>
        <w:t>bout ten minutes and then “</w:t>
      </w:r>
      <w:r w:rsidR="00267DD0" w:rsidRPr="00267DD0">
        <w:rPr>
          <w:rFonts w:eastAsia="Times New Roman"/>
        </w:rPr>
        <w:t>just assumed she was pla</w:t>
      </w:r>
      <w:r w:rsidR="00887AAF">
        <w:rPr>
          <w:rFonts w:eastAsia="Times New Roman"/>
        </w:rPr>
        <w:t xml:space="preserve">ying with a </w:t>
      </w:r>
      <w:proofErr w:type="gramStart"/>
      <w:r w:rsidR="00887AAF">
        <w:rPr>
          <w:rFonts w:eastAsia="Times New Roman"/>
        </w:rPr>
        <w:t>neighbor[</w:t>
      </w:r>
      <w:proofErr w:type="gramEnd"/>
      <w:r w:rsidR="00887AAF">
        <w:rPr>
          <w:rFonts w:eastAsia="Times New Roman"/>
        </w:rPr>
        <w:t>’]s child.”</w:t>
      </w:r>
      <w:r w:rsidR="00267DD0" w:rsidRPr="00267DD0">
        <w:rPr>
          <w:rFonts w:eastAsia="Times New Roman"/>
        </w:rPr>
        <w:t xml:space="preserve"> When </w:t>
      </w:r>
      <w:r w:rsidR="00887AAF">
        <w:rPr>
          <w:rFonts w:eastAsia="Times New Roman"/>
        </w:rPr>
        <w:t xml:space="preserve">the officer </w:t>
      </w:r>
      <w:r w:rsidR="00267DD0" w:rsidRPr="00267DD0">
        <w:rPr>
          <w:rFonts w:eastAsia="Times New Roman"/>
        </w:rPr>
        <w:t>asked why she did not ca</w:t>
      </w:r>
      <w:r w:rsidR="00887AAF">
        <w:rPr>
          <w:rFonts w:eastAsia="Times New Roman"/>
        </w:rPr>
        <w:t>ll 911, the defendant replied, “</w:t>
      </w:r>
      <w:r w:rsidR="00267DD0" w:rsidRPr="00267DD0">
        <w:rPr>
          <w:rFonts w:eastAsia="Times New Roman"/>
        </w:rPr>
        <w:t>That was my mistake</w:t>
      </w:r>
      <w:r w:rsidR="00887AAF">
        <w:rPr>
          <w:rFonts w:eastAsia="Times New Roman"/>
        </w:rPr>
        <w:t>.”</w:t>
      </w:r>
      <w:r w:rsidR="00267DD0" w:rsidRPr="00267DD0">
        <w:rPr>
          <w:rFonts w:eastAsia="Times New Roman"/>
        </w:rPr>
        <w:t> </w:t>
      </w:r>
      <w:r w:rsidR="00887AAF">
        <w:rPr>
          <w:rFonts w:eastAsia="Times New Roman"/>
        </w:rPr>
        <w:t xml:space="preserve">The officer then </w:t>
      </w:r>
      <w:r w:rsidR="00267DD0" w:rsidRPr="00267DD0">
        <w:rPr>
          <w:rFonts w:eastAsia="Times New Roman"/>
        </w:rPr>
        <w:t>drove the defendant to the school and reunited her with the child. The child’s father arrived at the school</w:t>
      </w:r>
      <w:r w:rsidR="00E006C9">
        <w:rPr>
          <w:rFonts w:eastAsia="Times New Roman"/>
        </w:rPr>
        <w:t xml:space="preserve">, too. </w:t>
      </w:r>
      <w:r w:rsidR="00887AAF">
        <w:rPr>
          <w:rFonts w:eastAsia="Times New Roman"/>
        </w:rPr>
        <w:t>DCF workers interviewed both parents. The father stated that he</w:t>
      </w:r>
      <w:r w:rsidR="00267DD0" w:rsidRPr="00267DD0">
        <w:rPr>
          <w:rFonts w:eastAsia="Times New Roman"/>
        </w:rPr>
        <w:t xml:space="preserve"> installed a deadbolt on the apartment door </w:t>
      </w:r>
      <w:r w:rsidR="00887AAF">
        <w:rPr>
          <w:rFonts w:eastAsia="Times New Roman"/>
        </w:rPr>
        <w:t xml:space="preserve">after the earlier incident </w:t>
      </w:r>
      <w:r w:rsidR="00267DD0" w:rsidRPr="00267DD0">
        <w:rPr>
          <w:rFonts w:eastAsia="Times New Roman"/>
        </w:rPr>
        <w:t xml:space="preserve">and instructed family members to hang the key </w:t>
      </w:r>
      <w:r w:rsidR="000B5B4A">
        <w:rPr>
          <w:rFonts w:eastAsia="Times New Roman"/>
        </w:rPr>
        <w:t>on a high hook in the kitchen. But t</w:t>
      </w:r>
      <w:r w:rsidR="00267DD0" w:rsidRPr="00267DD0">
        <w:rPr>
          <w:rFonts w:eastAsia="Times New Roman"/>
        </w:rPr>
        <w:t xml:space="preserve">he defendant </w:t>
      </w:r>
      <w:r w:rsidR="0085330E">
        <w:rPr>
          <w:rFonts w:eastAsia="Times New Roman"/>
        </w:rPr>
        <w:t>thought</w:t>
      </w:r>
      <w:r w:rsidR="00267DD0" w:rsidRPr="00267DD0">
        <w:rPr>
          <w:rFonts w:eastAsia="Times New Roman"/>
        </w:rPr>
        <w:t xml:space="preserve"> that her teenage son may have left the key on the counter </w:t>
      </w:r>
      <w:r w:rsidR="00D7642A">
        <w:rPr>
          <w:rFonts w:eastAsia="Times New Roman"/>
        </w:rPr>
        <w:t>where the child could reach it.</w:t>
      </w:r>
      <w:r w:rsidR="00267DD0" w:rsidRPr="00267DD0">
        <w:rPr>
          <w:rFonts w:eastAsia="Times New Roman"/>
        </w:rPr>
        <w:t> The defendant was charged with reckless endangerment of a child under G.L. c.265, §13L. She filed a m</w:t>
      </w:r>
      <w:r w:rsidR="00D7642A">
        <w:rPr>
          <w:rFonts w:eastAsia="Times New Roman"/>
        </w:rPr>
        <w:t xml:space="preserve">otion to dismiss the complaint for lack of probable cause. Her motion was allowed and the </w:t>
      </w:r>
      <w:r w:rsidR="00267DD0" w:rsidRPr="00267DD0">
        <w:rPr>
          <w:rFonts w:eastAsia="Times New Roman"/>
        </w:rPr>
        <w:t xml:space="preserve">Commonwealth appealed. </w:t>
      </w:r>
    </w:p>
    <w:p w:rsidR="00FC4D6F" w:rsidRDefault="00E006C9" w:rsidP="00031A48">
      <w:pPr>
        <w:spacing w:line="240" w:lineRule="auto"/>
      </w:pPr>
      <w:r w:rsidRPr="00E006C9">
        <w:rPr>
          <w:i/>
        </w:rPr>
        <w:t>Discussion</w:t>
      </w:r>
      <w:r>
        <w:t xml:space="preserve">: </w:t>
      </w:r>
      <w:r w:rsidR="00AA24B8">
        <w:t>Probab</w:t>
      </w:r>
      <w:r w:rsidR="004F5EE1">
        <w:t>le cause requires “</w:t>
      </w:r>
      <w:r w:rsidR="00AA24B8">
        <w:t>reasonably trustworthy information sufficient to warrant a reasonably prudent person in believing that the defen</w:t>
      </w:r>
      <w:r w:rsidR="004F5EE1">
        <w:t>d</w:t>
      </w:r>
      <w:r w:rsidR="00AD76E1">
        <w:t xml:space="preserve">ant has committed the offense.” </w:t>
      </w:r>
      <w:r w:rsidR="009073AA">
        <w:t>Reckless endangerment</w:t>
      </w:r>
      <w:r w:rsidR="00B07538">
        <w:t xml:space="preserve"> of a child</w:t>
      </w:r>
      <w:r w:rsidR="009073AA">
        <w:t xml:space="preserve"> requires proof that the defendant “wantonly or recklessly engage[d] in conduct that create[d] a substantial risk of serious bodily injury or sexual abuse to a child or wantonly or recklessly fail[</w:t>
      </w:r>
      <w:proofErr w:type="spellStart"/>
      <w:r w:rsidR="009073AA">
        <w:t>ed</w:t>
      </w:r>
      <w:proofErr w:type="spellEnd"/>
      <w:r w:rsidR="009073AA">
        <w:t xml:space="preserve">] to take reasonable steps to alleviate such risk where there [was] a duty to act.” </w:t>
      </w:r>
      <w:r w:rsidR="00031A48">
        <w:t xml:space="preserve">Determining whether a caregiver’s inadequate supervision gives rise to probable cause to believe that they committed the crime of reckless endangerment of a child </w:t>
      </w:r>
      <w:r w:rsidR="00A51CB3">
        <w:t xml:space="preserve">is a fact-specific inquiry that requires consideration of the totality of the circumstances. Relevant circumstances may include the gravity and character of the possible risks of harm; the degree of </w:t>
      </w:r>
      <w:r w:rsidR="00A51CB3">
        <w:lastRenderedPageBreak/>
        <w:t xml:space="preserve">accessibility of the defendant; the length of time of the abandonment; the age and maturity of the child; and the protective measures, if any, taken by the defendant. </w:t>
      </w:r>
    </w:p>
    <w:p w:rsidR="000C2E54" w:rsidRPr="00267DD0" w:rsidRDefault="00A51CB3" w:rsidP="00FE4DF4">
      <w:pPr>
        <w:pStyle w:val="NormalWeb"/>
      </w:pPr>
      <w:r>
        <w:t xml:space="preserve">Considering the totality of the circumstances here, the Appeals Court concluded </w:t>
      </w:r>
      <w:r w:rsidR="00E46D69">
        <w:t xml:space="preserve">that the defendant’s </w:t>
      </w:r>
      <w:r w:rsidR="00C57B16">
        <w:t xml:space="preserve">conduct once she discovered that the child was </w:t>
      </w:r>
      <w:r w:rsidR="00FC4D6F">
        <w:t xml:space="preserve">missing </w:t>
      </w:r>
      <w:r w:rsidR="00E46D69">
        <w:t>g</w:t>
      </w:r>
      <w:r w:rsidR="00FC4D6F">
        <w:t>ave</w:t>
      </w:r>
      <w:r w:rsidR="00E46D69">
        <w:t xml:space="preserve"> rise to probable cause that she </w:t>
      </w:r>
      <w:r w:rsidR="00C57B16">
        <w:t>“</w:t>
      </w:r>
      <w:r w:rsidR="00E46D69">
        <w:t>wantonly or recklessly fail</w:t>
      </w:r>
      <w:r w:rsidR="00C57B16">
        <w:t>[</w:t>
      </w:r>
      <w:proofErr w:type="spellStart"/>
      <w:r w:rsidR="00E46D69">
        <w:t>ed</w:t>
      </w:r>
      <w:proofErr w:type="spellEnd"/>
      <w:r w:rsidR="00C57B16">
        <w:t>]</w:t>
      </w:r>
      <w:r w:rsidR="00E46D69">
        <w:t xml:space="preserve"> to take reasonable steps to alleviate</w:t>
      </w:r>
      <w:r w:rsidR="00C57B16">
        <w:t>”</w:t>
      </w:r>
      <w:r w:rsidR="00E46D69">
        <w:t xml:space="preserve"> </w:t>
      </w:r>
      <w:r w:rsidR="00C57B16">
        <w:t xml:space="preserve">a substantial risk of serious bodily injury to the child. After searching for ten minutes, the defendant “just assumed” that the child was playing with a neighbor’s child and returned home. She did not call the police or have immediate plans to continue searching for the child herself. </w:t>
      </w:r>
      <w:r w:rsidR="00B20CE5">
        <w:t>The Court, relying on “common sense,” d</w:t>
      </w:r>
      <w:r w:rsidR="005246CA">
        <w:t>etermin</w:t>
      </w:r>
      <w:r w:rsidR="00B20CE5">
        <w:t xml:space="preserve">ed that a three year old left unattended outside faces serious risks of harm. </w:t>
      </w:r>
      <w:r w:rsidR="00B57312">
        <w:t>The Appeals Court concluded, though, that the defendant’s act</w:t>
      </w:r>
      <w:r w:rsidR="00C269E3">
        <w:t>ions before she stopped searching did not establish probable cause.</w:t>
      </w:r>
      <w:r w:rsidR="00B57312">
        <w:t xml:space="preserve"> </w:t>
      </w:r>
    </w:p>
    <w:p w:rsidR="003937BF" w:rsidRDefault="00DA27B1" w:rsidP="003937BF">
      <w:pPr>
        <w:spacing w:after="0" w:line="240" w:lineRule="auto"/>
      </w:pPr>
      <w:r w:rsidRPr="00611F5F">
        <w:rPr>
          <w:i/>
        </w:rPr>
        <w:t>Practice tip</w:t>
      </w:r>
      <w:r>
        <w:t>:</w:t>
      </w:r>
      <w:r w:rsidR="00611F5F">
        <w:t xml:space="preserve"> If you represent a parent in a </w:t>
      </w:r>
      <w:r w:rsidR="000C2E54">
        <w:t>care and protection case</w:t>
      </w:r>
      <w:r w:rsidR="00A42C46">
        <w:t xml:space="preserve"> involving </w:t>
      </w:r>
      <w:r w:rsidR="00611F5F">
        <w:t xml:space="preserve">a </w:t>
      </w:r>
      <w:r w:rsidR="00A42C46">
        <w:t xml:space="preserve">wandering child </w:t>
      </w:r>
      <w:r w:rsidR="00611F5F">
        <w:t>like this one or other</w:t>
      </w:r>
      <w:r w:rsidR="00A42C46">
        <w:t xml:space="preserve"> allegations of inadequate supervision</w:t>
      </w:r>
      <w:r w:rsidR="00611F5F">
        <w:t xml:space="preserve">, keep in mind the possibility of criminal charges. You </w:t>
      </w:r>
      <w:r w:rsidR="000C2E54">
        <w:rPr>
          <w:rFonts w:eastAsia="Times New Roman"/>
          <w:kern w:val="20"/>
        </w:rPr>
        <w:t xml:space="preserve">need to </w:t>
      </w:r>
      <w:r w:rsidR="000C2E54" w:rsidRPr="00F879CA">
        <w:rPr>
          <w:rFonts w:eastAsia="Times New Roman"/>
          <w:kern w:val="20"/>
        </w:rPr>
        <w:t xml:space="preserve">consider the potential harm if </w:t>
      </w:r>
      <w:r w:rsidR="000C2E54">
        <w:rPr>
          <w:rFonts w:eastAsia="Times New Roman"/>
          <w:kern w:val="20"/>
        </w:rPr>
        <w:t xml:space="preserve">the </w:t>
      </w:r>
      <w:r w:rsidR="000C2E54" w:rsidRPr="00F879CA">
        <w:rPr>
          <w:rFonts w:eastAsia="Times New Roman"/>
          <w:kern w:val="20"/>
        </w:rPr>
        <w:t xml:space="preserve">parent client </w:t>
      </w:r>
      <w:r w:rsidR="000C2E54">
        <w:rPr>
          <w:rFonts w:eastAsia="Times New Roman"/>
          <w:kern w:val="20"/>
        </w:rPr>
        <w:t>testifies</w:t>
      </w:r>
      <w:r w:rsidR="000C2E54" w:rsidRPr="00F879CA">
        <w:rPr>
          <w:rFonts w:eastAsia="Times New Roman"/>
          <w:kern w:val="20"/>
        </w:rPr>
        <w:t xml:space="preserve"> </w:t>
      </w:r>
      <w:r w:rsidR="000C2E54">
        <w:rPr>
          <w:rFonts w:eastAsia="Times New Roman"/>
          <w:kern w:val="20"/>
        </w:rPr>
        <w:t xml:space="preserve">at the 72-hour hearing </w:t>
      </w:r>
      <w:r w:rsidR="000C2E54" w:rsidRPr="00F879CA">
        <w:rPr>
          <w:rFonts w:eastAsia="Times New Roman"/>
          <w:kern w:val="20"/>
        </w:rPr>
        <w:t xml:space="preserve">and is facing or could face criminal charges because the District Attorney </w:t>
      </w:r>
      <w:r w:rsidR="00733BBE">
        <w:rPr>
          <w:rFonts w:eastAsia="Times New Roman"/>
          <w:kern w:val="20"/>
        </w:rPr>
        <w:t xml:space="preserve">and other parties </w:t>
      </w:r>
      <w:r w:rsidR="000C2E54" w:rsidRPr="00F879CA">
        <w:rPr>
          <w:rFonts w:eastAsia="Times New Roman"/>
          <w:kern w:val="20"/>
        </w:rPr>
        <w:t xml:space="preserve">could </w:t>
      </w:r>
      <w:r w:rsidR="000C2E54">
        <w:rPr>
          <w:rFonts w:eastAsia="Times New Roman"/>
          <w:kern w:val="20"/>
        </w:rPr>
        <w:t xml:space="preserve">have </w:t>
      </w:r>
      <w:r w:rsidR="000C2E54" w:rsidRPr="00F879CA">
        <w:rPr>
          <w:rFonts w:eastAsia="Times New Roman"/>
          <w:kern w:val="20"/>
        </w:rPr>
        <w:t>access to the hearing record.</w:t>
      </w:r>
      <w:r w:rsidR="000C2E54">
        <w:rPr>
          <w:rFonts w:eastAsia="Times New Roman"/>
          <w:kern w:val="20"/>
        </w:rPr>
        <w:t xml:space="preserve"> You should also advise the client not to talk to the police or Court Investigator without you. </w:t>
      </w:r>
      <w:r w:rsidR="00CC7103">
        <w:rPr>
          <w:rFonts w:eastAsia="Times New Roman"/>
          <w:kern w:val="20"/>
        </w:rPr>
        <w:t xml:space="preserve">For more </w:t>
      </w:r>
      <w:r w:rsidR="00C269E3">
        <w:rPr>
          <w:rFonts w:eastAsia="Times New Roman"/>
          <w:kern w:val="20"/>
        </w:rPr>
        <w:t xml:space="preserve">on </w:t>
      </w:r>
      <w:r w:rsidR="00CC7103">
        <w:rPr>
          <w:rFonts w:eastAsia="Times New Roman"/>
          <w:kern w:val="20"/>
        </w:rPr>
        <w:t xml:space="preserve">what to do if your client is facing criminal charges, see the summary of </w:t>
      </w:r>
      <w:r w:rsidR="00CC7103">
        <w:rPr>
          <w:i/>
        </w:rPr>
        <w:t>Care and Protection of M.C.</w:t>
      </w:r>
      <w:r w:rsidR="00CC7103">
        <w:t>, 479 Mass. 246</w:t>
      </w:r>
      <w:r w:rsidR="00B07538">
        <w:t xml:space="preserve"> (2018), on the CPCS website at</w:t>
      </w:r>
      <w:r w:rsidR="00CC7103" w:rsidRPr="000D160F">
        <w:t xml:space="preserve"> </w:t>
      </w:r>
      <w:hyperlink r:id="rId6" w:history="1">
        <w:r w:rsidR="00CC7103" w:rsidRPr="00A06FCA">
          <w:rPr>
            <w:rStyle w:val="Hyperlink"/>
          </w:rPr>
          <w:t>https://www.publiccounsel.net/cafl/professional/relevant-statutes-and-case-law/summaries-of-recent-decisions/</w:t>
        </w:r>
      </w:hyperlink>
      <w:r w:rsidR="003937BF">
        <w:t xml:space="preserve">. </w:t>
      </w:r>
    </w:p>
    <w:p w:rsidR="003937BF" w:rsidRDefault="003937BF" w:rsidP="003937BF">
      <w:pPr>
        <w:spacing w:after="0" w:line="240" w:lineRule="auto"/>
      </w:pPr>
    </w:p>
    <w:p w:rsidR="00611F5F" w:rsidRDefault="00E90496" w:rsidP="003937BF">
      <w:pPr>
        <w:spacing w:after="0" w:line="240" w:lineRule="auto"/>
      </w:pPr>
      <w:r>
        <w:t xml:space="preserve">If you </w:t>
      </w:r>
      <w:r w:rsidR="000C6A8C">
        <w:t>are appointed to a</w:t>
      </w:r>
      <w:r>
        <w:t xml:space="preserve"> care and protection with similar facts, you can use this case to argue that the allegations do or do not establish that the child was placed in danger of abuse or neglect. </w:t>
      </w:r>
      <w:r w:rsidR="00D51D67">
        <w:t xml:space="preserve">Don’t forget </w:t>
      </w:r>
      <w:r w:rsidR="00B141C6">
        <w:t>the court must also find that immediate removal is necessary to protect the child</w:t>
      </w:r>
      <w:r w:rsidR="00D51D67">
        <w:t>, certify that continuation of the child in their home is contrary to the child’s best interest, and determine whether DCF made reasonable efforts to prevent or eliminate the need for removal</w:t>
      </w:r>
      <w:r w:rsidR="00B141C6">
        <w:t xml:space="preserve">. </w:t>
      </w:r>
    </w:p>
    <w:p w:rsidR="003937BF" w:rsidRDefault="003937BF" w:rsidP="00295902">
      <w:pPr>
        <w:spacing w:after="0" w:line="240" w:lineRule="auto"/>
      </w:pPr>
    </w:p>
    <w:p w:rsidR="000C2E54" w:rsidRDefault="000C2E54" w:rsidP="00295902">
      <w:pPr>
        <w:spacing w:line="240" w:lineRule="auto"/>
      </w:pPr>
      <w:r>
        <w:t xml:space="preserve">Think this case sounds </w:t>
      </w:r>
      <w:r w:rsidRPr="00D51D67">
        <w:rPr>
          <w:i/>
        </w:rPr>
        <w:t>a lot</w:t>
      </w:r>
      <w:r>
        <w:t xml:space="preserve"> like the Church family from Trial Panel Certification training? We do, too! </w:t>
      </w:r>
    </w:p>
    <w:sectPr w:rsidR="000C2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D0"/>
    <w:rsid w:val="00031A48"/>
    <w:rsid w:val="000357BC"/>
    <w:rsid w:val="0005745F"/>
    <w:rsid w:val="000B5B4A"/>
    <w:rsid w:val="000C2E54"/>
    <w:rsid w:val="000C6A8C"/>
    <w:rsid w:val="000F5246"/>
    <w:rsid w:val="000F625A"/>
    <w:rsid w:val="001346CC"/>
    <w:rsid w:val="001D36AF"/>
    <w:rsid w:val="00267DD0"/>
    <w:rsid w:val="00295902"/>
    <w:rsid w:val="002B555C"/>
    <w:rsid w:val="00355982"/>
    <w:rsid w:val="003937BF"/>
    <w:rsid w:val="003C28D7"/>
    <w:rsid w:val="003C589D"/>
    <w:rsid w:val="0049117F"/>
    <w:rsid w:val="004F5EE1"/>
    <w:rsid w:val="00517EDA"/>
    <w:rsid w:val="005246CA"/>
    <w:rsid w:val="005B4144"/>
    <w:rsid w:val="005F6C9D"/>
    <w:rsid w:val="00611F5F"/>
    <w:rsid w:val="00665A0F"/>
    <w:rsid w:val="006E1BF2"/>
    <w:rsid w:val="00733BBE"/>
    <w:rsid w:val="007A1FC8"/>
    <w:rsid w:val="007B2561"/>
    <w:rsid w:val="007C10BE"/>
    <w:rsid w:val="0085330E"/>
    <w:rsid w:val="008656FC"/>
    <w:rsid w:val="00887AAF"/>
    <w:rsid w:val="008E0485"/>
    <w:rsid w:val="00905105"/>
    <w:rsid w:val="009073AA"/>
    <w:rsid w:val="00A13FAA"/>
    <w:rsid w:val="00A33127"/>
    <w:rsid w:val="00A37C7D"/>
    <w:rsid w:val="00A42C46"/>
    <w:rsid w:val="00A51CB3"/>
    <w:rsid w:val="00AA24B8"/>
    <w:rsid w:val="00AB1DF3"/>
    <w:rsid w:val="00AC629E"/>
    <w:rsid w:val="00AD76E1"/>
    <w:rsid w:val="00B07538"/>
    <w:rsid w:val="00B141C6"/>
    <w:rsid w:val="00B20CE5"/>
    <w:rsid w:val="00B57312"/>
    <w:rsid w:val="00C269E3"/>
    <w:rsid w:val="00C51C53"/>
    <w:rsid w:val="00C57B16"/>
    <w:rsid w:val="00CC7103"/>
    <w:rsid w:val="00D36FCA"/>
    <w:rsid w:val="00D51D67"/>
    <w:rsid w:val="00D61F7E"/>
    <w:rsid w:val="00D675F3"/>
    <w:rsid w:val="00D7642A"/>
    <w:rsid w:val="00DA27B1"/>
    <w:rsid w:val="00E006C9"/>
    <w:rsid w:val="00E46D69"/>
    <w:rsid w:val="00E72AAC"/>
    <w:rsid w:val="00E90496"/>
    <w:rsid w:val="00EC4751"/>
    <w:rsid w:val="00F14A2B"/>
    <w:rsid w:val="00F82A0D"/>
    <w:rsid w:val="00FC0751"/>
    <w:rsid w:val="00FC2F03"/>
    <w:rsid w:val="00FC4D6F"/>
    <w:rsid w:val="00FE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C53"/>
    <w:rPr>
      <w:color w:val="0000FF" w:themeColor="hyperlink"/>
      <w:u w:val="single"/>
    </w:rPr>
  </w:style>
  <w:style w:type="character" w:styleId="FollowedHyperlink">
    <w:name w:val="FollowedHyperlink"/>
    <w:basedOn w:val="DefaultParagraphFont"/>
    <w:uiPriority w:val="99"/>
    <w:semiHidden/>
    <w:unhideWhenUsed/>
    <w:rsid w:val="00C51C53"/>
    <w:rPr>
      <w:color w:val="800080" w:themeColor="followedHyperlink"/>
      <w:u w:val="single"/>
    </w:rPr>
  </w:style>
  <w:style w:type="paragraph" w:styleId="NormalWeb">
    <w:name w:val="Normal (Web)"/>
    <w:basedOn w:val="Normal"/>
    <w:uiPriority w:val="99"/>
    <w:unhideWhenUsed/>
    <w:rsid w:val="00665A0F"/>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7A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C53"/>
    <w:rPr>
      <w:color w:val="0000FF" w:themeColor="hyperlink"/>
      <w:u w:val="single"/>
    </w:rPr>
  </w:style>
  <w:style w:type="character" w:styleId="FollowedHyperlink">
    <w:name w:val="FollowedHyperlink"/>
    <w:basedOn w:val="DefaultParagraphFont"/>
    <w:uiPriority w:val="99"/>
    <w:semiHidden/>
    <w:unhideWhenUsed/>
    <w:rsid w:val="00C51C53"/>
    <w:rPr>
      <w:color w:val="800080" w:themeColor="followedHyperlink"/>
      <w:u w:val="single"/>
    </w:rPr>
  </w:style>
  <w:style w:type="paragraph" w:styleId="NormalWeb">
    <w:name w:val="Normal (Web)"/>
    <w:basedOn w:val="Normal"/>
    <w:uiPriority w:val="99"/>
    <w:unhideWhenUsed/>
    <w:rsid w:val="00665A0F"/>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7A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0985">
      <w:bodyDiv w:val="1"/>
      <w:marLeft w:val="0"/>
      <w:marRight w:val="0"/>
      <w:marTop w:val="0"/>
      <w:marBottom w:val="0"/>
      <w:divBdr>
        <w:top w:val="none" w:sz="0" w:space="0" w:color="auto"/>
        <w:left w:val="none" w:sz="0" w:space="0" w:color="auto"/>
        <w:bottom w:val="none" w:sz="0" w:space="0" w:color="auto"/>
        <w:right w:val="none" w:sz="0" w:space="0" w:color="auto"/>
      </w:divBdr>
    </w:div>
    <w:div w:id="670570029">
      <w:bodyDiv w:val="1"/>
      <w:marLeft w:val="0"/>
      <w:marRight w:val="0"/>
      <w:marTop w:val="0"/>
      <w:marBottom w:val="0"/>
      <w:divBdr>
        <w:top w:val="none" w:sz="0" w:space="0" w:color="auto"/>
        <w:left w:val="none" w:sz="0" w:space="0" w:color="auto"/>
        <w:bottom w:val="none" w:sz="0" w:space="0" w:color="auto"/>
        <w:right w:val="none" w:sz="0" w:space="0" w:color="auto"/>
      </w:divBdr>
      <w:divsChild>
        <w:div w:id="587470657">
          <w:marLeft w:val="0"/>
          <w:marRight w:val="0"/>
          <w:marTop w:val="0"/>
          <w:marBottom w:val="0"/>
          <w:divBdr>
            <w:top w:val="none" w:sz="0" w:space="0" w:color="auto"/>
            <w:left w:val="none" w:sz="0" w:space="0" w:color="auto"/>
            <w:bottom w:val="none" w:sz="0" w:space="0" w:color="auto"/>
            <w:right w:val="none" w:sz="0" w:space="0" w:color="auto"/>
          </w:divBdr>
          <w:divsChild>
            <w:div w:id="17002735">
              <w:marLeft w:val="0"/>
              <w:marRight w:val="0"/>
              <w:marTop w:val="0"/>
              <w:marBottom w:val="0"/>
              <w:divBdr>
                <w:top w:val="none" w:sz="0" w:space="0" w:color="auto"/>
                <w:left w:val="none" w:sz="0" w:space="0" w:color="auto"/>
                <w:bottom w:val="none" w:sz="0" w:space="0" w:color="auto"/>
                <w:right w:val="none" w:sz="0" w:space="0" w:color="auto"/>
              </w:divBdr>
              <w:divsChild>
                <w:div w:id="8170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ubliccounsel.net/cafl/professional/relevant-statutes-and-case-law/summaries-of-recent-decisions/" TargetMode="External"/><Relationship Id="rId5" Type="http://schemas.openxmlformats.org/officeDocument/2006/relationships/hyperlink" Target="http://masscases.com/cases/app/94/94massappct55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960</Words>
  <Characters>5473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Krywonis</dc:creator>
  <cp:lastModifiedBy>Elizabeth Broderick</cp:lastModifiedBy>
  <cp:revision>2</cp:revision>
  <cp:lastPrinted>2019-01-10T18:55:00Z</cp:lastPrinted>
  <dcterms:created xsi:type="dcterms:W3CDTF">2019-01-10T19:42:00Z</dcterms:created>
  <dcterms:modified xsi:type="dcterms:W3CDTF">2019-01-10T19:42:00Z</dcterms:modified>
</cp:coreProperties>
</file>