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53" w:rsidRDefault="002A5153" w:rsidP="002A5153">
      <w:pPr>
        <w:spacing w:before="100" w:beforeAutospacing="1" w:after="100" w:afterAutospacing="1" w:line="240" w:lineRule="auto"/>
        <w:contextualSpacing/>
        <w:rPr>
          <w:rFonts w:eastAsia="Times New Roman"/>
          <w:color w:val="000000"/>
        </w:rPr>
      </w:pPr>
      <w:r>
        <w:rPr>
          <w:rFonts w:eastAsia="Times New Roman"/>
          <w:bCs/>
          <w:i/>
          <w:color w:val="000000"/>
        </w:rPr>
        <w:t>Commonwealth v. Salazar</w:t>
      </w:r>
      <w:r>
        <w:rPr>
          <w:rFonts w:eastAsia="Times New Roman"/>
          <w:bCs/>
          <w:color w:val="000000"/>
        </w:rPr>
        <w:t>, 481 Mass. 105</w:t>
      </w:r>
      <w:r>
        <w:rPr>
          <w:rFonts w:eastAsia="Times New Roman"/>
          <w:color w:val="000000"/>
        </w:rPr>
        <w:t xml:space="preserve"> (2018) [</w:t>
      </w:r>
      <w:hyperlink r:id="rId5" w:history="1">
        <w:r w:rsidRPr="002A5153">
          <w:rPr>
            <w:rStyle w:val="Hyperlink"/>
            <w:rFonts w:eastAsia="Times New Roman"/>
          </w:rPr>
          <w:t>Full Opinion</w:t>
        </w:r>
      </w:hyperlink>
      <w:r>
        <w:rPr>
          <w:rFonts w:eastAsia="Times New Roman"/>
          <w:color w:val="000000"/>
        </w:rPr>
        <w:t xml:space="preserve">] </w:t>
      </w:r>
    </w:p>
    <w:p w:rsidR="003C28D7" w:rsidRDefault="002A5153" w:rsidP="0082360C">
      <w:pPr>
        <w:spacing w:before="100" w:beforeAutospacing="1" w:after="100" w:afterAutospacing="1" w:line="240" w:lineRule="auto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Summary by Kat</w:t>
      </w:r>
      <w:r w:rsidR="0082360C">
        <w:rPr>
          <w:rFonts w:eastAsia="Times New Roman"/>
          <w:color w:val="000000"/>
        </w:rPr>
        <w:t xml:space="preserve">y Krywonis, CAFL Training Unit </w:t>
      </w:r>
    </w:p>
    <w:p w:rsidR="0082360C" w:rsidRPr="0082360C" w:rsidRDefault="0082360C" w:rsidP="0082360C">
      <w:pPr>
        <w:spacing w:before="100" w:beforeAutospacing="1" w:after="100" w:afterAutospacing="1" w:line="240" w:lineRule="auto"/>
        <w:contextualSpacing/>
        <w:rPr>
          <w:rFonts w:eastAsia="Times New Roman"/>
          <w:color w:val="000000"/>
        </w:rPr>
      </w:pPr>
    </w:p>
    <w:p w:rsidR="00994A13" w:rsidRDefault="00F8158A" w:rsidP="00DC03F5">
      <w:pPr>
        <w:spacing w:line="240" w:lineRule="auto"/>
      </w:pPr>
      <w:r>
        <w:t xml:space="preserve">This case </w:t>
      </w:r>
      <w:r w:rsidR="003161AB">
        <w:t xml:space="preserve">is a reminder that clients have the </w:t>
      </w:r>
      <w:r w:rsidR="000D160F">
        <w:t xml:space="preserve">constitutional </w:t>
      </w:r>
      <w:r w:rsidR="003161AB">
        <w:t xml:space="preserve">right to make fundamental decisions about their cases, </w:t>
      </w:r>
      <w:r w:rsidR="00A60EF5">
        <w:t>like</w:t>
      </w:r>
      <w:r w:rsidR="0040559F">
        <w:t xml:space="preserve"> choosing to testify. </w:t>
      </w:r>
      <w:r w:rsidR="00706AD9">
        <w:t xml:space="preserve">The defendant was charged with murder. </w:t>
      </w:r>
      <w:r w:rsidR="0082360C">
        <w:t xml:space="preserve">Trial counsel pursued alternative defenses: (1) innocence, and (2) intoxication. The defendant testified </w:t>
      </w:r>
      <w:r w:rsidR="00706AD9">
        <w:t xml:space="preserve">and denied killing the victim. </w:t>
      </w:r>
      <w:r w:rsidR="0081238D">
        <w:t xml:space="preserve">Trial counsel </w:t>
      </w:r>
      <w:r w:rsidR="00225983">
        <w:t xml:space="preserve">“soft pedaled” the intoxication defense so that she did not undermine the primary innocence defense. </w:t>
      </w:r>
      <w:r w:rsidR="00082C1E">
        <w:t>T</w:t>
      </w:r>
      <w:r w:rsidR="00902BAD">
        <w:t xml:space="preserve">he defendant was convicted of murder in the first degree. </w:t>
      </w:r>
    </w:p>
    <w:p w:rsidR="00F978E5" w:rsidRDefault="00A52915" w:rsidP="00DC03F5">
      <w:pPr>
        <w:spacing w:line="240" w:lineRule="auto"/>
      </w:pPr>
      <w:r>
        <w:t>H</w:t>
      </w:r>
      <w:r w:rsidR="00994A13">
        <w:t>is</w:t>
      </w:r>
      <w:r w:rsidR="00902BAD">
        <w:t xml:space="preserve"> appellate counsel </w:t>
      </w:r>
      <w:r>
        <w:t>faulted trial counsel</w:t>
      </w:r>
      <w:r w:rsidR="009F023D">
        <w:t>’s approach</w:t>
      </w:r>
      <w:r>
        <w:t xml:space="preserve">, </w:t>
      </w:r>
      <w:r w:rsidR="00902BAD">
        <w:t>argu</w:t>
      </w:r>
      <w:r>
        <w:t>ing</w:t>
      </w:r>
      <w:r w:rsidR="00D21CA7">
        <w:t xml:space="preserve"> that </w:t>
      </w:r>
      <w:r w:rsidR="00994A13">
        <w:t xml:space="preserve">the defendant’s </w:t>
      </w:r>
      <w:r w:rsidR="00D21CA7">
        <w:t xml:space="preserve">testimony </w:t>
      </w:r>
      <w:r w:rsidR="004124B1">
        <w:t xml:space="preserve">was “fantastical </w:t>
      </w:r>
      <w:r w:rsidR="00D21CA7">
        <w:t>and would not have been credited by the jury.</w:t>
      </w:r>
      <w:r w:rsidR="004124B1">
        <w:t>”</w:t>
      </w:r>
      <w:r w:rsidR="00D21CA7">
        <w:t xml:space="preserve"> The SJC noted that </w:t>
      </w:r>
      <w:r w:rsidR="00994A13">
        <w:t>“although that may be so, the decision whether to testify is the prerogative of the accused. Defense counsel may sometimes disagree with a defendant’s decision to testify and may provide advice to assist the defendant in that decision.</w:t>
      </w:r>
      <w:r w:rsidR="00DE4B2D">
        <w:t>” (C</w:t>
      </w:r>
      <w:r w:rsidR="0040559F">
        <w:t xml:space="preserve">itations omitted). </w:t>
      </w:r>
    </w:p>
    <w:p w:rsidR="000E53EE" w:rsidRDefault="00DF344B" w:rsidP="00DC03F5">
      <w:pPr>
        <w:spacing w:after="0" w:line="240" w:lineRule="auto"/>
      </w:pPr>
      <w:r>
        <w:t xml:space="preserve">To </w:t>
      </w:r>
      <w:r w:rsidR="00F978E5">
        <w:t>a</w:t>
      </w:r>
      <w:r>
        <w:t>dvise</w:t>
      </w:r>
      <w:r w:rsidR="00F978E5">
        <w:t xml:space="preserve"> </w:t>
      </w:r>
      <w:r>
        <w:t xml:space="preserve">a </w:t>
      </w:r>
      <w:r w:rsidR="00F978E5">
        <w:t>client about testifying</w:t>
      </w:r>
      <w:r w:rsidR="00A52915">
        <w:t>, c</w:t>
      </w:r>
      <w:r w:rsidR="002A114F" w:rsidRPr="00F879CA">
        <w:rPr>
          <w:rFonts w:eastAsia="Times New Roman"/>
          <w:kern w:val="20"/>
        </w:rPr>
        <w:t xml:space="preserve">ounsel should evaluate the information the client can present and weigh the benefits of the testimony against the potential harm. </w:t>
      </w:r>
      <w:r w:rsidR="00A52915">
        <w:t>In CAFL cases, c</w:t>
      </w:r>
      <w:r w:rsidR="002A114F" w:rsidRPr="00F879CA">
        <w:rPr>
          <w:rFonts w:eastAsia="Times New Roman"/>
          <w:kern w:val="20"/>
        </w:rPr>
        <w:t xml:space="preserve">ounsel must consider the potential harm if </w:t>
      </w:r>
      <w:r w:rsidR="00F879CA" w:rsidRPr="00F879CA">
        <w:rPr>
          <w:rFonts w:eastAsia="Times New Roman"/>
          <w:kern w:val="20"/>
        </w:rPr>
        <w:t>a parent client</w:t>
      </w:r>
      <w:r w:rsidR="002A114F" w:rsidRPr="00F879CA">
        <w:rPr>
          <w:rFonts w:eastAsia="Times New Roman"/>
          <w:kern w:val="20"/>
        </w:rPr>
        <w:t xml:space="preserve"> </w:t>
      </w:r>
      <w:r w:rsidR="00F879CA" w:rsidRPr="00F879CA">
        <w:rPr>
          <w:rFonts w:eastAsia="Times New Roman"/>
          <w:i/>
          <w:kern w:val="20"/>
        </w:rPr>
        <w:t>does not</w:t>
      </w:r>
      <w:r w:rsidR="002A114F" w:rsidRPr="00F879CA">
        <w:rPr>
          <w:rFonts w:eastAsia="Times New Roman"/>
          <w:kern w:val="20"/>
        </w:rPr>
        <w:t xml:space="preserve"> testify because it is unlikely the court will return custody of a child to a parent who does not testify. </w:t>
      </w:r>
      <w:r w:rsidR="000D160F">
        <w:rPr>
          <w:rFonts w:eastAsia="Times New Roman"/>
          <w:kern w:val="20"/>
        </w:rPr>
        <w:t xml:space="preserve">And DCF will likely call the parent as its own witness, and the parent must be prepared for that possibility. </w:t>
      </w:r>
      <w:r w:rsidR="00F879CA" w:rsidRPr="00F879CA">
        <w:rPr>
          <w:rFonts w:eastAsia="Times New Roman"/>
          <w:kern w:val="20"/>
        </w:rPr>
        <w:t xml:space="preserve">Counsel must </w:t>
      </w:r>
      <w:r w:rsidR="00F978E5">
        <w:rPr>
          <w:rFonts w:eastAsia="Times New Roman"/>
          <w:kern w:val="20"/>
        </w:rPr>
        <w:t xml:space="preserve">also </w:t>
      </w:r>
      <w:r w:rsidR="00F879CA" w:rsidRPr="00F879CA">
        <w:rPr>
          <w:rFonts w:eastAsia="Times New Roman"/>
          <w:kern w:val="20"/>
        </w:rPr>
        <w:t xml:space="preserve">consider the </w:t>
      </w:r>
      <w:r w:rsidR="000D160F">
        <w:rPr>
          <w:rFonts w:eastAsia="Times New Roman"/>
          <w:kern w:val="20"/>
        </w:rPr>
        <w:t>risk</w:t>
      </w:r>
      <w:r w:rsidR="00F879CA" w:rsidRPr="00F879CA">
        <w:rPr>
          <w:rFonts w:eastAsia="Times New Roman"/>
          <w:kern w:val="20"/>
        </w:rPr>
        <w:t xml:space="preserve"> if a parent client </w:t>
      </w:r>
      <w:r w:rsidR="00F879CA" w:rsidRPr="00F879CA">
        <w:rPr>
          <w:rFonts w:eastAsia="Times New Roman"/>
          <w:i/>
          <w:kern w:val="20"/>
        </w:rPr>
        <w:t>does</w:t>
      </w:r>
      <w:r w:rsidR="00F879CA" w:rsidRPr="00F879CA">
        <w:rPr>
          <w:rFonts w:eastAsia="Times New Roman"/>
          <w:kern w:val="20"/>
        </w:rPr>
        <w:t xml:space="preserve"> testify</w:t>
      </w:r>
      <w:r w:rsidR="000D160F">
        <w:rPr>
          <w:rFonts w:eastAsia="Times New Roman"/>
          <w:kern w:val="20"/>
        </w:rPr>
        <w:t>, including when they</w:t>
      </w:r>
      <w:r w:rsidR="00F879CA" w:rsidRPr="00F879CA">
        <w:rPr>
          <w:rFonts w:eastAsia="Times New Roman"/>
          <w:kern w:val="20"/>
        </w:rPr>
        <w:t xml:space="preserve"> </w:t>
      </w:r>
      <w:r w:rsidR="000D160F">
        <w:rPr>
          <w:rFonts w:eastAsia="Times New Roman"/>
          <w:kern w:val="20"/>
        </w:rPr>
        <w:t>face</w:t>
      </w:r>
      <w:r w:rsidR="00F879CA" w:rsidRPr="00F879CA">
        <w:rPr>
          <w:rFonts w:eastAsia="Times New Roman"/>
          <w:kern w:val="20"/>
        </w:rPr>
        <w:t xml:space="preserve"> or could face criminal charges related to the care and protection proceeding because the District Attorney </w:t>
      </w:r>
      <w:r w:rsidR="000D160F">
        <w:rPr>
          <w:rFonts w:eastAsia="Times New Roman"/>
          <w:kern w:val="20"/>
        </w:rPr>
        <w:t xml:space="preserve">and other parties </w:t>
      </w:r>
      <w:r w:rsidR="00F879CA" w:rsidRPr="00F879CA">
        <w:rPr>
          <w:rFonts w:eastAsia="Times New Roman"/>
          <w:kern w:val="20"/>
        </w:rPr>
        <w:t xml:space="preserve">could </w:t>
      </w:r>
      <w:r w:rsidR="004124B1">
        <w:rPr>
          <w:rFonts w:eastAsia="Times New Roman"/>
          <w:kern w:val="20"/>
        </w:rPr>
        <w:t xml:space="preserve">have </w:t>
      </w:r>
      <w:r w:rsidR="00F879CA" w:rsidRPr="00F879CA">
        <w:rPr>
          <w:rFonts w:eastAsia="Times New Roman"/>
          <w:kern w:val="20"/>
        </w:rPr>
        <w:t xml:space="preserve">access to the hearing record. </w:t>
      </w:r>
      <w:r w:rsidR="000D160F">
        <w:rPr>
          <w:rFonts w:eastAsia="Times New Roman"/>
          <w:kern w:val="20"/>
        </w:rPr>
        <w:t xml:space="preserve">There is a summary of </w:t>
      </w:r>
      <w:r w:rsidR="000D160F">
        <w:rPr>
          <w:i/>
        </w:rPr>
        <w:t>Care and Protection of M.C.</w:t>
      </w:r>
      <w:r w:rsidR="000D160F">
        <w:t>, 479 Mass. 246 (2018), discuss</w:t>
      </w:r>
      <w:r w:rsidR="00896DBA">
        <w:t xml:space="preserve">ing this on the CPCS website at </w:t>
      </w:r>
      <w:hyperlink r:id="rId6" w:history="1">
        <w:r w:rsidR="000D160F" w:rsidRPr="00A06FCA">
          <w:rPr>
            <w:rStyle w:val="Hyperlink"/>
          </w:rPr>
          <w:t>https://www.publiccounsel.net/cafl/professional/relevant-statutes-and-case-law/summaries-of-recent-decisions/</w:t>
        </w:r>
      </w:hyperlink>
      <w:r w:rsidR="000D160F">
        <w:t xml:space="preserve">. </w:t>
      </w:r>
    </w:p>
    <w:p w:rsidR="000D160F" w:rsidRPr="00A52915" w:rsidRDefault="000D160F" w:rsidP="00DC03F5">
      <w:pPr>
        <w:spacing w:after="0" w:line="240" w:lineRule="auto"/>
      </w:pPr>
    </w:p>
    <w:p w:rsidR="002A114F" w:rsidRPr="006B6F1F" w:rsidRDefault="000E53EE" w:rsidP="00DC03F5">
      <w:pPr>
        <w:spacing w:line="240" w:lineRule="auto"/>
      </w:pPr>
      <w:r>
        <w:rPr>
          <w:rFonts w:eastAsia="Times New Roman"/>
          <w:kern w:val="20"/>
        </w:rPr>
        <w:t xml:space="preserve">The SJC went on to remark that </w:t>
      </w:r>
      <w:r>
        <w:t>“u</w:t>
      </w:r>
      <w:r w:rsidR="004124B1">
        <w:t xml:space="preserve">ltimately, should the defendant decide to testify to his or her side of the story, respect for the defendant’s personal autonomy requires that the defendant’s own attorney not undermine that decision.” </w:t>
      </w:r>
      <w:r>
        <w:t xml:space="preserve">But </w:t>
      </w:r>
      <w:r w:rsidR="006D3E75">
        <w:t xml:space="preserve">the </w:t>
      </w:r>
      <w:r w:rsidR="00511DA3">
        <w:t xml:space="preserve">client’s “personal autonomy” is not without limit. </w:t>
      </w:r>
      <w:r w:rsidR="00DC03F5">
        <w:t>Massachusetts Rule</w:t>
      </w:r>
      <w:r w:rsidR="006D3E75">
        <w:t xml:space="preserve"> of Professional Conduct </w:t>
      </w:r>
      <w:r w:rsidR="00DC03F5">
        <w:t xml:space="preserve">3.3 </w:t>
      </w:r>
      <w:r w:rsidR="006D3E75">
        <w:t>prohibit</w:t>
      </w:r>
      <w:r w:rsidR="00DC03F5">
        <w:t>s</w:t>
      </w:r>
      <w:r w:rsidR="006D3E75">
        <w:t xml:space="preserve"> counsel from offering evidence counsel </w:t>
      </w:r>
      <w:r w:rsidR="006D3E75" w:rsidRPr="006D3E75">
        <w:t>knows</w:t>
      </w:r>
      <w:r w:rsidR="006D3E75">
        <w:t xml:space="preserve"> is false. </w:t>
      </w:r>
      <w:r w:rsidR="006B6F1F" w:rsidRPr="006B6F1F">
        <w:rPr>
          <w:rFonts w:eastAsia="Times New Roman"/>
          <w:kern w:val="20"/>
        </w:rPr>
        <w:t xml:space="preserve">For </w:t>
      </w:r>
      <w:r w:rsidR="006B6F1F">
        <w:rPr>
          <w:rFonts w:eastAsia="Times New Roman"/>
          <w:kern w:val="20"/>
        </w:rPr>
        <w:t>more</w:t>
      </w:r>
      <w:r w:rsidR="006B6F1F" w:rsidRPr="006B6F1F">
        <w:rPr>
          <w:rFonts w:eastAsia="Times New Roman"/>
          <w:kern w:val="20"/>
        </w:rPr>
        <w:t xml:space="preserve"> </w:t>
      </w:r>
      <w:r w:rsidR="006B6F1F">
        <w:rPr>
          <w:rFonts w:eastAsia="Times New Roman"/>
          <w:kern w:val="20"/>
        </w:rPr>
        <w:t xml:space="preserve">on </w:t>
      </w:r>
      <w:r w:rsidR="00DC03F5">
        <w:rPr>
          <w:rFonts w:eastAsia="Times New Roman"/>
          <w:kern w:val="20"/>
        </w:rPr>
        <w:t>this topic</w:t>
      </w:r>
      <w:r w:rsidR="006B6F1F" w:rsidRPr="006B6F1F">
        <w:rPr>
          <w:rFonts w:eastAsia="Times New Roman"/>
          <w:kern w:val="20"/>
        </w:rPr>
        <w:t>, s</w:t>
      </w:r>
      <w:r w:rsidR="002A114F" w:rsidRPr="006B6F1F">
        <w:rPr>
          <w:rFonts w:eastAsia="Times New Roman"/>
          <w:kern w:val="20"/>
        </w:rPr>
        <w:t>ee Chapter 22, Special Consider</w:t>
      </w:r>
      <w:r w:rsidR="006B6F1F" w:rsidRPr="006B6F1F">
        <w:rPr>
          <w:rFonts w:eastAsia="Times New Roman"/>
          <w:kern w:val="20"/>
        </w:rPr>
        <w:t xml:space="preserve">ations in Representing Parents, in MCLE’s Child Welfare Practice in Massachusetts. </w:t>
      </w:r>
      <w:bookmarkStart w:id="0" w:name="_GoBack"/>
      <w:bookmarkEnd w:id="0"/>
    </w:p>
    <w:p w:rsidR="006D2781" w:rsidRDefault="006D2781" w:rsidP="00DC03F5">
      <w:pPr>
        <w:spacing w:line="240" w:lineRule="auto"/>
      </w:pPr>
    </w:p>
    <w:sectPr w:rsidR="006D2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53"/>
    <w:rsid w:val="00082C1E"/>
    <w:rsid w:val="000D160F"/>
    <w:rsid w:val="000E53EE"/>
    <w:rsid w:val="00225983"/>
    <w:rsid w:val="002A114F"/>
    <w:rsid w:val="002A5153"/>
    <w:rsid w:val="002D5000"/>
    <w:rsid w:val="002E6538"/>
    <w:rsid w:val="003161AB"/>
    <w:rsid w:val="00384386"/>
    <w:rsid w:val="003C28D7"/>
    <w:rsid w:val="0040559F"/>
    <w:rsid w:val="004124B1"/>
    <w:rsid w:val="004A59D1"/>
    <w:rsid w:val="00511DA3"/>
    <w:rsid w:val="006B6F1F"/>
    <w:rsid w:val="006D2781"/>
    <w:rsid w:val="006D3E75"/>
    <w:rsid w:val="006F2555"/>
    <w:rsid w:val="00706AD9"/>
    <w:rsid w:val="00747D72"/>
    <w:rsid w:val="0081238D"/>
    <w:rsid w:val="0082360C"/>
    <w:rsid w:val="00896DBA"/>
    <w:rsid w:val="00902BAD"/>
    <w:rsid w:val="00994A13"/>
    <w:rsid w:val="009D2669"/>
    <w:rsid w:val="009F023D"/>
    <w:rsid w:val="00A52915"/>
    <w:rsid w:val="00A60EF5"/>
    <w:rsid w:val="00AF7E30"/>
    <w:rsid w:val="00D21CA7"/>
    <w:rsid w:val="00D31BF1"/>
    <w:rsid w:val="00D824CF"/>
    <w:rsid w:val="00DC03F5"/>
    <w:rsid w:val="00DE4B2D"/>
    <w:rsid w:val="00DF344B"/>
    <w:rsid w:val="00E46402"/>
    <w:rsid w:val="00F8158A"/>
    <w:rsid w:val="00F879CA"/>
    <w:rsid w:val="00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5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E65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6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653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5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E65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6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653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ubliccounsel.net/cafl/professional/relevant-statutes-and-case-law/summaries-of-recent-decisions/" TargetMode="External"/><Relationship Id="rId5" Type="http://schemas.openxmlformats.org/officeDocument/2006/relationships/hyperlink" Target="http://masscases.com/cases/sjc/481/481mass1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Krywonis</dc:creator>
  <cp:lastModifiedBy>Elizabeth Broderick</cp:lastModifiedBy>
  <cp:revision>2</cp:revision>
  <dcterms:created xsi:type="dcterms:W3CDTF">2019-01-10T19:45:00Z</dcterms:created>
  <dcterms:modified xsi:type="dcterms:W3CDTF">2019-01-10T19:45:00Z</dcterms:modified>
</cp:coreProperties>
</file>