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D7" w:rsidRDefault="009C0F10" w:rsidP="009C0F10">
      <w:pPr>
        <w:spacing w:line="240" w:lineRule="auto"/>
        <w:contextualSpacing/>
      </w:pPr>
      <w:bookmarkStart w:id="0" w:name="_GoBack"/>
      <w:bookmarkEnd w:id="0"/>
      <w:r w:rsidRPr="009C0F10">
        <w:rPr>
          <w:u w:val="single"/>
        </w:rPr>
        <w:t xml:space="preserve">Hasouris v. </w:t>
      </w:r>
      <w:proofErr w:type="spellStart"/>
      <w:r w:rsidRPr="009C0F10">
        <w:rPr>
          <w:u w:val="single"/>
        </w:rPr>
        <w:t>Sorour</w:t>
      </w:r>
      <w:proofErr w:type="spellEnd"/>
      <w:r>
        <w:t xml:space="preserve">, </w:t>
      </w:r>
      <w:r w:rsidR="003044E1">
        <w:t xml:space="preserve">92 Mass. App. Ct. 607 (2018) </w:t>
      </w:r>
    </w:p>
    <w:p w:rsidR="009C0F10" w:rsidRDefault="009C0F10" w:rsidP="009C0F10">
      <w:pPr>
        <w:spacing w:line="240" w:lineRule="auto"/>
        <w:contextualSpacing/>
      </w:pPr>
      <w:r>
        <w:t xml:space="preserve">Summary by Katy Krywonis, CAFL Training Unit </w:t>
      </w:r>
    </w:p>
    <w:p w:rsidR="009C0F10" w:rsidRDefault="009C0F10" w:rsidP="009C0F10">
      <w:pPr>
        <w:spacing w:line="240" w:lineRule="auto"/>
        <w:contextualSpacing/>
      </w:pPr>
    </w:p>
    <w:p w:rsidR="0014143D" w:rsidRDefault="00E83916" w:rsidP="009C0F10">
      <w:pPr>
        <w:spacing w:line="240" w:lineRule="auto"/>
        <w:contextualSpacing/>
      </w:pPr>
      <w:r>
        <w:t>This case provides a good overview of the prior recorded testimony hearsay exception</w:t>
      </w:r>
      <w:r w:rsidR="00EF1BD1">
        <w:t xml:space="preserve"> and </w:t>
      </w:r>
      <w:r w:rsidR="00913E0B">
        <w:t xml:space="preserve">discusses how to navigate asserting </w:t>
      </w:r>
      <w:r w:rsidR="00EF1BD1">
        <w:t>the privilege against self-incrimination</w:t>
      </w:r>
      <w:r>
        <w:t>.  T</w:t>
      </w:r>
      <w:r w:rsidR="0014143D">
        <w:t>he Appeals Court held that</w:t>
      </w:r>
      <w:r w:rsidR="00B96676">
        <w:t xml:space="preserve"> a witness’ </w:t>
      </w:r>
      <w:r w:rsidR="0014143D">
        <w:t>prior recorded testimony (</w:t>
      </w:r>
      <w:r w:rsidR="009242E7">
        <w:t xml:space="preserve">here, a </w:t>
      </w:r>
      <w:r w:rsidR="0014143D">
        <w:t xml:space="preserve">deposition transcript) </w:t>
      </w:r>
      <w:r w:rsidR="009242E7">
        <w:t xml:space="preserve">can be used at trial where the </w:t>
      </w:r>
      <w:r w:rsidR="00913E0B">
        <w:t xml:space="preserve">judge determines that the </w:t>
      </w:r>
      <w:r w:rsidR="009242E7">
        <w:t>witness is unavailable</w:t>
      </w:r>
      <w:r w:rsidR="00913E0B">
        <w:t xml:space="preserve">. This may be relevant in cases where a witness testifies under oath and is cross-examined in one proceeding (e.g. a 72 or other evidentiary hearing) and is unavailable to testify at a subsequent proceeding (e.g. trial). </w:t>
      </w:r>
    </w:p>
    <w:p w:rsidR="00DD22F5" w:rsidRDefault="00DD22F5" w:rsidP="009C0F10">
      <w:pPr>
        <w:spacing w:line="240" w:lineRule="auto"/>
        <w:contextualSpacing/>
      </w:pPr>
    </w:p>
    <w:p w:rsidR="009C0F10" w:rsidRDefault="00C44D7A" w:rsidP="009C0F10">
      <w:pPr>
        <w:spacing w:line="240" w:lineRule="auto"/>
        <w:contextualSpacing/>
      </w:pPr>
      <w:r w:rsidRPr="00913E0B">
        <w:rPr>
          <w:u w:val="single"/>
        </w:rPr>
        <w:t xml:space="preserve">Prior recorded testimony </w:t>
      </w:r>
      <w:r w:rsidR="00181D8A" w:rsidRPr="00913E0B">
        <w:rPr>
          <w:u w:val="single"/>
        </w:rPr>
        <w:t xml:space="preserve">hearsay </w:t>
      </w:r>
      <w:r w:rsidRPr="00913E0B">
        <w:rPr>
          <w:u w:val="single"/>
        </w:rPr>
        <w:t>exception</w:t>
      </w:r>
      <w:r>
        <w:t xml:space="preserve">: </w:t>
      </w:r>
      <w:r w:rsidR="00DD22F5">
        <w:t>The p</w:t>
      </w:r>
      <w:r w:rsidR="009C0F10">
        <w:t>rior recorded testimony</w:t>
      </w:r>
      <w:r w:rsidR="00DD22F5">
        <w:t xml:space="preserve"> of a person may be admitted where the person is now unavailable, the testimony was given in a proceeding addressing substantially the same issues as in the current proceeding, and the party against whom the testimony is offered had a reasonable opportunity and similar motivation for cross-examination of the person during the prior proceeding. </w:t>
      </w:r>
      <w:r w:rsidR="002C0120">
        <w:t xml:space="preserve">The exception applies equally in criminal and civil actions. </w:t>
      </w:r>
    </w:p>
    <w:p w:rsidR="009C0F10" w:rsidRDefault="009C0F10" w:rsidP="009C0F10">
      <w:pPr>
        <w:spacing w:line="240" w:lineRule="auto"/>
        <w:contextualSpacing/>
      </w:pPr>
    </w:p>
    <w:p w:rsidR="000E35AB" w:rsidRDefault="00913E0B" w:rsidP="009C0F10">
      <w:pPr>
        <w:spacing w:line="240" w:lineRule="auto"/>
        <w:contextualSpacing/>
      </w:pPr>
      <w:r w:rsidRPr="00913E0B">
        <w:rPr>
          <w:u w:val="single"/>
        </w:rPr>
        <w:t>Unavailable</w:t>
      </w:r>
      <w:r>
        <w:t>:</w:t>
      </w:r>
      <w:r w:rsidR="00C44D7A">
        <w:t xml:space="preserve"> The</w:t>
      </w:r>
      <w:r w:rsidR="00566DA7">
        <w:t>re are a number of bases for finding that a witness is unavailable.</w:t>
      </w:r>
      <w:r w:rsidR="00C44D7A">
        <w:t xml:space="preserve"> </w:t>
      </w:r>
      <w:r w:rsidR="00566DA7">
        <w:t xml:space="preserve">For example, a witness may be </w:t>
      </w:r>
      <w:r w:rsidR="00C44D7A">
        <w:t xml:space="preserve">physically </w:t>
      </w:r>
      <w:r w:rsidR="00566DA7">
        <w:t xml:space="preserve">unavailable because they are </w:t>
      </w:r>
      <w:r w:rsidR="00C44D7A">
        <w:t>deceased</w:t>
      </w:r>
      <w:r w:rsidR="002C0120">
        <w:t xml:space="preserve">, missing, </w:t>
      </w:r>
      <w:r w:rsidR="00566DA7">
        <w:t xml:space="preserve">or </w:t>
      </w:r>
      <w:r w:rsidR="00C44D7A">
        <w:t>out of state and cannot be secured for trial</w:t>
      </w:r>
      <w:r w:rsidR="00566DA7">
        <w:t>.  A witness who is</w:t>
      </w:r>
      <w:r w:rsidR="00181D8A">
        <w:t xml:space="preserve"> considered i</w:t>
      </w:r>
      <w:r w:rsidR="002C0120">
        <w:t>n</w:t>
      </w:r>
      <w:r w:rsidR="00E646AF">
        <w:t>competent is likewise unavailable</w:t>
      </w:r>
      <w:r w:rsidR="00566DA7">
        <w:t>. A witness</w:t>
      </w:r>
      <w:r w:rsidR="00181D8A">
        <w:t xml:space="preserve"> who validly invoke</w:t>
      </w:r>
      <w:r w:rsidR="00566DA7">
        <w:t>s</w:t>
      </w:r>
      <w:r w:rsidR="00181D8A">
        <w:t xml:space="preserve"> the privilege against self-incrimination</w:t>
      </w:r>
      <w:r w:rsidR="00566DA7">
        <w:t xml:space="preserve"> is unavailable</w:t>
      </w:r>
      <w:r w:rsidR="00181D8A">
        <w:t xml:space="preserve">. </w:t>
      </w:r>
    </w:p>
    <w:p w:rsidR="000E35AB" w:rsidRDefault="000E35AB" w:rsidP="009C0F10">
      <w:pPr>
        <w:spacing w:line="240" w:lineRule="auto"/>
        <w:contextualSpacing/>
      </w:pPr>
    </w:p>
    <w:p w:rsidR="009C0F10" w:rsidRDefault="000E35AB" w:rsidP="009C0F10">
      <w:pPr>
        <w:spacing w:line="240" w:lineRule="auto"/>
        <w:contextualSpacing/>
      </w:pPr>
      <w:r>
        <w:t xml:space="preserve">Opposing counsel may challenge whether the witness is unavailable in the sense required, and then the judge must decide. </w:t>
      </w:r>
    </w:p>
    <w:p w:rsidR="009C0F10" w:rsidRDefault="009C0F10" w:rsidP="009C0F10">
      <w:pPr>
        <w:spacing w:line="240" w:lineRule="auto"/>
        <w:contextualSpacing/>
      </w:pPr>
    </w:p>
    <w:p w:rsidR="009C0F10" w:rsidRDefault="009C0F10" w:rsidP="009C0F10">
      <w:pPr>
        <w:spacing w:line="240" w:lineRule="auto"/>
        <w:contextualSpacing/>
      </w:pPr>
      <w:r w:rsidRPr="00913E0B">
        <w:rPr>
          <w:u w:val="single"/>
        </w:rPr>
        <w:t xml:space="preserve">Invoking </w:t>
      </w:r>
      <w:r w:rsidR="002C0120" w:rsidRPr="00913E0B">
        <w:rPr>
          <w:u w:val="single"/>
        </w:rPr>
        <w:t>the privilege against self-</w:t>
      </w:r>
      <w:r w:rsidR="00C44D7A" w:rsidRPr="00913E0B">
        <w:rPr>
          <w:u w:val="single"/>
        </w:rPr>
        <w:t>incrimination</w:t>
      </w:r>
      <w:r w:rsidR="00C44D7A">
        <w:t xml:space="preserve">: </w:t>
      </w:r>
      <w:r w:rsidR="009A5FA7">
        <w:t>When a witness declares his intent to invoke the privilege</w:t>
      </w:r>
      <w:r w:rsidR="000E35AB">
        <w:t xml:space="preserve"> against self-incrimination and </w:t>
      </w:r>
      <w:r w:rsidR="009A5FA7">
        <w:t>the part</w:t>
      </w:r>
      <w:r w:rsidR="000E35AB">
        <w:t xml:space="preserve">y intending to call the witness </w:t>
      </w:r>
      <w:r w:rsidR="009B5555">
        <w:t>challenge</w:t>
      </w:r>
      <w:r w:rsidR="000E35AB">
        <w:t>s</w:t>
      </w:r>
      <w:r w:rsidR="009A5FA7">
        <w:t xml:space="preserve"> whether the privil</w:t>
      </w:r>
      <w:r w:rsidR="00CF3622">
        <w:t>e</w:t>
      </w:r>
      <w:r w:rsidR="000E35AB">
        <w:t>ge has been properly invoked, t</w:t>
      </w:r>
      <w:r w:rsidR="009A5FA7">
        <w:t xml:space="preserve">he trial judge must determine whether the witness has established </w:t>
      </w:r>
      <w:r w:rsidR="00566DA7">
        <w:t>“</w:t>
      </w:r>
      <w:r w:rsidR="009A5FA7">
        <w:t xml:space="preserve">a real risk that his </w:t>
      </w:r>
      <w:r w:rsidR="00566DA7">
        <w:t xml:space="preserve">answers to questions will tend to indicate his involvement in illegal activity, </w:t>
      </w:r>
      <w:r w:rsidR="008E3963">
        <w:t>and not a mere imaginary, remote, or specula</w:t>
      </w:r>
      <w:r w:rsidR="00E863EE">
        <w:t>tive possibility of prosecution.”  The witness must assert the privilege in response to particular questions</w:t>
      </w:r>
      <w:r w:rsidR="008E3963">
        <w:t>,</w:t>
      </w:r>
      <w:r w:rsidR="00B96676">
        <w:t xml:space="preserve"> and the </w:t>
      </w:r>
      <w:r w:rsidR="008E3963">
        <w:t xml:space="preserve">possible </w:t>
      </w:r>
      <w:r w:rsidR="00B96676">
        <w:t>incriminatory potential of each question</w:t>
      </w:r>
      <w:r w:rsidR="008E3963">
        <w:t>,</w:t>
      </w:r>
      <w:r w:rsidR="00B96676">
        <w:t xml:space="preserve"> or area </w:t>
      </w:r>
      <w:r w:rsidR="008E3963">
        <w:t>which the prosecution might wish to explore,</w:t>
      </w:r>
      <w:r w:rsidR="00B96676">
        <w:t xml:space="preserve"> must be considered.</w:t>
      </w:r>
      <w:r w:rsidR="00E863EE">
        <w:t xml:space="preserve">  A witness may not make a blanket assertion of the privilege</w:t>
      </w:r>
      <w:r w:rsidR="00DD4ECC">
        <w:t xml:space="preserve"> (unless the court determines that the privilege extends to the entire testimony)</w:t>
      </w:r>
      <w:r w:rsidR="00E863EE">
        <w:t>.</w:t>
      </w:r>
    </w:p>
    <w:p w:rsidR="00E077BE" w:rsidRDefault="00E077BE" w:rsidP="009C0F10">
      <w:pPr>
        <w:spacing w:line="240" w:lineRule="auto"/>
        <w:contextualSpacing/>
      </w:pPr>
    </w:p>
    <w:p w:rsidR="00840E4E" w:rsidRDefault="00840E4E" w:rsidP="00840E4E">
      <w:pPr>
        <w:spacing w:line="240" w:lineRule="auto"/>
        <w:contextualSpacing/>
      </w:pPr>
      <w:r>
        <w:t>Here, the witness invoked his privilege against self-incrimination. In pretrial motions and hearings, he “unequivocally indicated” his intent to assert the privilege if called to t</w:t>
      </w:r>
      <w:r w:rsidR="009F3951">
        <w:t xml:space="preserve">estify.  Then, </w:t>
      </w:r>
      <w:r w:rsidR="002F2B26">
        <w:t xml:space="preserve">when </w:t>
      </w:r>
      <w:r w:rsidR="00494925">
        <w:t>he</w:t>
      </w:r>
      <w:r w:rsidR="002F2B26">
        <w:t xml:space="preserve"> did not appear for trial as subpoenaed, </w:t>
      </w:r>
      <w:r w:rsidR="009F3951">
        <w:t>counsel reported that the witness was “gravely ill” and in an</w:t>
      </w:r>
      <w:r w:rsidR="00B647FB">
        <w:t xml:space="preserve">y event, would assert the </w:t>
      </w:r>
      <w:r w:rsidR="009F3951">
        <w:t>privil</w:t>
      </w:r>
      <w:r w:rsidR="002F2B26">
        <w:t xml:space="preserve">ege.  </w:t>
      </w:r>
      <w:r w:rsidR="009F3951">
        <w:t xml:space="preserve">The trial judge subsequently found the witness unavailable and admitted the deposition transcript in evidence.  </w:t>
      </w:r>
      <w:r>
        <w:t xml:space="preserve">The Appeals Court </w:t>
      </w:r>
      <w:r w:rsidR="00DD4ECC">
        <w:t>said that was okay.  However, t</w:t>
      </w:r>
      <w:r w:rsidR="009F3951">
        <w:t xml:space="preserve">he </w:t>
      </w:r>
      <w:smartTag w:uri="urn:schemas-microsoft-com:office:smarttags" w:element="Street">
        <w:smartTag w:uri="urn:schemas-microsoft-com:office:smarttags" w:element="address">
          <w:r w:rsidR="009F3951">
            <w:t>Appeals Court</w:t>
          </w:r>
        </w:smartTag>
      </w:smartTag>
      <w:r w:rsidR="009F3951">
        <w:t xml:space="preserve"> </w:t>
      </w:r>
      <w:r>
        <w:t xml:space="preserve">did not determine whether the witness </w:t>
      </w:r>
      <w:r w:rsidRPr="008E3963">
        <w:rPr>
          <w:i/>
        </w:rPr>
        <w:t>validly</w:t>
      </w:r>
      <w:r>
        <w:t xml:space="preserve"> inv</w:t>
      </w:r>
      <w:r w:rsidR="009A5FA7">
        <w:t>oked the privilege</w:t>
      </w:r>
      <w:r>
        <w:t xml:space="preserve"> because </w:t>
      </w:r>
      <w:r w:rsidR="008E3963">
        <w:t xml:space="preserve">his deposition testimony </w:t>
      </w:r>
      <w:r>
        <w:t xml:space="preserve">was </w:t>
      </w:r>
      <w:r w:rsidR="00B647FB">
        <w:t xml:space="preserve">independently admissible </w:t>
      </w:r>
      <w:r>
        <w:t xml:space="preserve">pursuant to Mass. R. Civ. P. 32(a)(3)(D). </w:t>
      </w:r>
    </w:p>
    <w:p w:rsidR="00840E4E" w:rsidRDefault="00840E4E" w:rsidP="009C0F10">
      <w:pPr>
        <w:spacing w:line="240" w:lineRule="auto"/>
        <w:contextualSpacing/>
      </w:pPr>
    </w:p>
    <w:p w:rsidR="00E077BE" w:rsidRDefault="00E077BE" w:rsidP="009C0F10">
      <w:pPr>
        <w:spacing w:line="240" w:lineRule="auto"/>
        <w:contextualSpacing/>
      </w:pPr>
      <w:r>
        <w:t xml:space="preserve">If you have a case that sounds like this, you should read the full opinion, available </w:t>
      </w:r>
      <w:hyperlink r:id="rId5" w:history="1">
        <w:r w:rsidRPr="00DD4ECC">
          <w:rPr>
            <w:rStyle w:val="Hyperlink"/>
          </w:rPr>
          <w:t>here</w:t>
        </w:r>
      </w:hyperlink>
      <w:r>
        <w:t xml:space="preserve">. </w:t>
      </w:r>
    </w:p>
    <w:p w:rsidR="00C44D7A" w:rsidRDefault="00C44D7A" w:rsidP="009C0F10">
      <w:pPr>
        <w:spacing w:line="240" w:lineRule="auto"/>
        <w:contextualSpacing/>
      </w:pPr>
    </w:p>
    <w:sectPr w:rsidR="00C44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0"/>
    <w:rsid w:val="000B6965"/>
    <w:rsid w:val="000E35AB"/>
    <w:rsid w:val="0014143D"/>
    <w:rsid w:val="00181D8A"/>
    <w:rsid w:val="002C0120"/>
    <w:rsid w:val="002E26BA"/>
    <w:rsid w:val="002F2B26"/>
    <w:rsid w:val="003044E1"/>
    <w:rsid w:val="003C28D7"/>
    <w:rsid w:val="003F21E1"/>
    <w:rsid w:val="00494925"/>
    <w:rsid w:val="00566DA7"/>
    <w:rsid w:val="00652A96"/>
    <w:rsid w:val="00840E4E"/>
    <w:rsid w:val="008E3963"/>
    <w:rsid w:val="00913E0B"/>
    <w:rsid w:val="009242E7"/>
    <w:rsid w:val="009A5FA7"/>
    <w:rsid w:val="009B5555"/>
    <w:rsid w:val="009C0F10"/>
    <w:rsid w:val="009F3951"/>
    <w:rsid w:val="00AB1826"/>
    <w:rsid w:val="00B647FB"/>
    <w:rsid w:val="00B9043B"/>
    <w:rsid w:val="00B96676"/>
    <w:rsid w:val="00C44D7A"/>
    <w:rsid w:val="00CF3622"/>
    <w:rsid w:val="00D66A63"/>
    <w:rsid w:val="00DD22F5"/>
    <w:rsid w:val="00DD4ECC"/>
    <w:rsid w:val="00E077BE"/>
    <w:rsid w:val="00E646AF"/>
    <w:rsid w:val="00E7374C"/>
    <w:rsid w:val="00E83916"/>
    <w:rsid w:val="00E863EE"/>
    <w:rsid w:val="00E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8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8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8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s.gov/files/documents/2018/01/08/16P126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Krywonis</dc:creator>
  <cp:lastModifiedBy>Elizabeth Broderick</cp:lastModifiedBy>
  <cp:revision>2</cp:revision>
  <cp:lastPrinted>2018-01-11T19:07:00Z</cp:lastPrinted>
  <dcterms:created xsi:type="dcterms:W3CDTF">2018-12-03T17:21:00Z</dcterms:created>
  <dcterms:modified xsi:type="dcterms:W3CDTF">2018-12-03T17:21:00Z</dcterms:modified>
</cp:coreProperties>
</file>