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D7" w:rsidRDefault="00C06444" w:rsidP="00AA2B05">
      <w:pPr>
        <w:spacing w:after="0" w:line="240" w:lineRule="auto"/>
      </w:pPr>
      <w:proofErr w:type="gramStart"/>
      <w:r>
        <w:rPr>
          <w:i/>
        </w:rPr>
        <w:t>Adoption of Luc</w:t>
      </w:r>
      <w:r w:rsidR="00AA2B05">
        <w:t xml:space="preserve">, </w:t>
      </w:r>
      <w:r>
        <w:t>18-P-473, December 13, 2018 (Sullivan, J.)</w:t>
      </w:r>
      <w:proofErr w:type="gramEnd"/>
      <w:r w:rsidR="009206A9">
        <w:t xml:space="preserve"> </w:t>
      </w:r>
      <w:r w:rsidR="004425D7">
        <w:t>[</w:t>
      </w:r>
      <w:hyperlink r:id="rId7" w:history="1">
        <w:r w:rsidR="006D28ED">
          <w:rPr>
            <w:rStyle w:val="Hyperlink"/>
          </w:rPr>
          <w:t>Slip</w:t>
        </w:r>
        <w:r w:rsidR="004425D7" w:rsidRPr="004425D7">
          <w:rPr>
            <w:rStyle w:val="Hyperlink"/>
          </w:rPr>
          <w:t xml:space="preserve"> Opinion</w:t>
        </w:r>
      </w:hyperlink>
      <w:r w:rsidR="004425D7">
        <w:t>]</w:t>
      </w:r>
    </w:p>
    <w:p w:rsidR="00AA2B05" w:rsidRDefault="00AA2B05" w:rsidP="00AA2B05">
      <w:pPr>
        <w:spacing w:line="240" w:lineRule="auto"/>
      </w:pPr>
      <w:r>
        <w:t xml:space="preserve">Summary by Katy Krywonis, CAFL Training Unit </w:t>
      </w:r>
    </w:p>
    <w:p w:rsidR="003340CF" w:rsidRPr="003340CF" w:rsidRDefault="00130423" w:rsidP="00AA2B05">
      <w:pPr>
        <w:spacing w:line="240" w:lineRule="auto"/>
      </w:pPr>
      <w:r>
        <w:t>In this appeal from a decree terminating her parental rights, the mother argued</w:t>
      </w:r>
      <w:r w:rsidR="00D64685">
        <w:t>, inter alia,</w:t>
      </w:r>
      <w:r>
        <w:t xml:space="preserve"> that </w:t>
      </w:r>
      <w:r w:rsidR="00D64685">
        <w:t>the trial judge improperly admitted dictation and reports of a deceased social worker that contained inadmissible hearsay. The Appeals Court rejected her argument and concluded</w:t>
      </w:r>
      <w:r w:rsidR="00267416">
        <w:t xml:space="preserve"> that h</w:t>
      </w:r>
      <w:r w:rsidR="003340CF">
        <w:t xml:space="preserve">earsay is admissible in DCF records, subject to the parent’s </w:t>
      </w:r>
      <w:r w:rsidR="004425D7">
        <w:t xml:space="preserve">and child’s </w:t>
      </w:r>
      <w:r w:rsidR="003340CF">
        <w:t>ab</w:t>
      </w:r>
      <w:r w:rsidR="006C3E3C">
        <w:t>ility to subpoena the declarants</w:t>
      </w:r>
      <w:r w:rsidR="003340CF">
        <w:t xml:space="preserve">. </w:t>
      </w:r>
    </w:p>
    <w:p w:rsidR="00AA2B05" w:rsidRDefault="00AA2B05" w:rsidP="00AA2B05">
      <w:pPr>
        <w:spacing w:line="240" w:lineRule="auto"/>
      </w:pPr>
      <w:r w:rsidRPr="002B0C60">
        <w:rPr>
          <w:i/>
        </w:rPr>
        <w:t>Facts:</w:t>
      </w:r>
      <w:r>
        <w:t xml:space="preserve"> </w:t>
      </w:r>
      <w:r w:rsidR="00676E7B">
        <w:t xml:space="preserve">The </w:t>
      </w:r>
      <w:r w:rsidR="00AE690B">
        <w:t xml:space="preserve">DCF </w:t>
      </w:r>
      <w:r w:rsidR="00676E7B">
        <w:t>worker testified on direct examination. Before the mother had an opportunity to cross</w:t>
      </w:r>
      <w:r w:rsidR="00E662CE">
        <w:t>-</w:t>
      </w:r>
      <w:r w:rsidR="00676E7B">
        <w:t xml:space="preserve">examine him, the worker died. </w:t>
      </w:r>
      <w:r w:rsidR="00134FE6">
        <w:t xml:space="preserve">The </w:t>
      </w:r>
      <w:r w:rsidR="00676E7B">
        <w:t xml:space="preserve">trial </w:t>
      </w:r>
      <w:r w:rsidR="00134FE6">
        <w:t>judge struck the worker’s testimony, but admitted his dictation, reports, and assessments</w:t>
      </w:r>
      <w:r w:rsidR="00AE690B">
        <w:t xml:space="preserve"> in evidence</w:t>
      </w:r>
      <w:r w:rsidR="00676E7B">
        <w:t>.</w:t>
      </w:r>
      <w:r w:rsidR="00AE690B">
        <w:t xml:space="preserve"> The documents were limited to statements of fact; they were redacted to exclude opinion and judgment. </w:t>
      </w:r>
      <w:r w:rsidR="00FF2C40">
        <w:t>The worker’s supervisor then testified in his stead. The trial judge terminated the mother’s parental rights</w:t>
      </w:r>
      <w:r w:rsidR="00E662CE">
        <w:t>, and she</w:t>
      </w:r>
      <w:r w:rsidR="00843948">
        <w:t xml:space="preserve"> appealed. </w:t>
      </w:r>
    </w:p>
    <w:p w:rsidR="008540D0" w:rsidRDefault="00AA2B05" w:rsidP="00C06444">
      <w:pPr>
        <w:spacing w:line="240" w:lineRule="auto"/>
      </w:pPr>
      <w:r w:rsidRPr="002B0C60">
        <w:rPr>
          <w:i/>
        </w:rPr>
        <w:t xml:space="preserve">Discussion: </w:t>
      </w:r>
      <w:r w:rsidR="00D37C75">
        <w:t>The official records hearsay exception permits</w:t>
      </w:r>
      <w:r w:rsidR="001971CC">
        <w:t xml:space="preserve"> the admission of</w:t>
      </w:r>
      <w:r w:rsidR="00D37C75">
        <w:t xml:space="preserve"> record</w:t>
      </w:r>
      <w:r w:rsidR="001971CC">
        <w:t>s</w:t>
      </w:r>
      <w:r w:rsidR="00D37C75">
        <w:t xml:space="preserve"> of primary fact made by a public officer in the course of </w:t>
      </w:r>
      <w:r w:rsidR="001971CC">
        <w:t>their official duties</w:t>
      </w:r>
      <w:r w:rsidR="00D37C75">
        <w:t>. D</w:t>
      </w:r>
      <w:r w:rsidR="001971CC">
        <w:t xml:space="preserve">CF workers are required </w:t>
      </w:r>
      <w:r w:rsidR="00E3650C">
        <w:t xml:space="preserve">to keep </w:t>
      </w:r>
      <w:r w:rsidR="001971CC">
        <w:t xml:space="preserve">regular notes of their contacts with families pursuant to the Department of Early Education and Care regulations (606 C.M.R. 5.12(2)) and DCF policy (policy no. 2017-01: Family Assessment and Action Planning Policy), so </w:t>
      </w:r>
      <w:r w:rsidR="00D57972">
        <w:t xml:space="preserve">dictation </w:t>
      </w:r>
      <w:r w:rsidR="00D37C75">
        <w:t xml:space="preserve">is </w:t>
      </w:r>
      <w:r w:rsidR="00E3650C">
        <w:t>an official record</w:t>
      </w:r>
      <w:r w:rsidR="00DB2CDC">
        <w:t xml:space="preserve">. </w:t>
      </w:r>
    </w:p>
    <w:p w:rsidR="00676376" w:rsidRDefault="0086146D" w:rsidP="00C06444">
      <w:pPr>
        <w:spacing w:line="240" w:lineRule="auto"/>
      </w:pPr>
      <w:r>
        <w:t xml:space="preserve">The official records exception applies to </w:t>
      </w:r>
      <w:r w:rsidR="00E662CE">
        <w:t xml:space="preserve">statements </w:t>
      </w:r>
      <w:r>
        <w:t>of primary fact</w:t>
      </w:r>
      <w:r w:rsidR="00676376">
        <w:t xml:space="preserve">. </w:t>
      </w:r>
      <w:r>
        <w:t xml:space="preserve">The </w:t>
      </w:r>
      <w:r w:rsidR="00676376">
        <w:t>document</w:t>
      </w:r>
      <w:r w:rsidR="00622C7B">
        <w:t>s must</w:t>
      </w:r>
      <w:r w:rsidR="00676376">
        <w:t xml:space="preserve"> </w:t>
      </w:r>
      <w:r w:rsidR="00E662CE">
        <w:t xml:space="preserve">therefore be </w:t>
      </w:r>
      <w:r w:rsidR="00622C7B">
        <w:t>redacted to exclude op</w:t>
      </w:r>
      <w:r>
        <w:t>inion, diagnosis,</w:t>
      </w:r>
      <w:r w:rsidR="00676376">
        <w:t xml:space="preserve"> and</w:t>
      </w:r>
      <w:r>
        <w:t xml:space="preserve"> evaluation.</w:t>
      </w:r>
      <w:r w:rsidR="00B90DBE">
        <w:t xml:space="preserve"> </w:t>
      </w:r>
      <w:r w:rsidR="000925A5">
        <w:t xml:space="preserve">Here, the trial judge </w:t>
      </w:r>
      <w:r w:rsidR="00E662CE">
        <w:t xml:space="preserve">properly </w:t>
      </w:r>
      <w:r w:rsidR="000925A5">
        <w:t xml:space="preserve">redacted </w:t>
      </w:r>
      <w:r w:rsidR="00E662CE">
        <w:t>the dictation</w:t>
      </w:r>
      <w:r w:rsidR="000925A5">
        <w:t xml:space="preserve">. </w:t>
      </w:r>
    </w:p>
    <w:p w:rsidR="009E1C71" w:rsidRDefault="00293A5C" w:rsidP="00C06444">
      <w:pPr>
        <w:spacing w:line="240" w:lineRule="auto"/>
      </w:pPr>
      <w:r>
        <w:t xml:space="preserve">In addition, opposing parties must be given the opportunity </w:t>
      </w:r>
      <w:r w:rsidR="00B90DBE">
        <w:t xml:space="preserve">to cross-examine the author. The worker’s death in this case deprived the mother of the opportunity to cross-examine him. </w:t>
      </w:r>
      <w:r w:rsidR="00267416">
        <w:t xml:space="preserve">The worker’s testimony was properly stricken. </w:t>
      </w:r>
      <w:r w:rsidR="00B90DBE">
        <w:t>B</w:t>
      </w:r>
      <w:r w:rsidR="00B54C90">
        <w:t xml:space="preserve">ut the </w:t>
      </w:r>
      <w:r w:rsidR="003340CF">
        <w:t xml:space="preserve">Appeals Court concluded that the </w:t>
      </w:r>
      <w:r w:rsidR="00B54C90">
        <w:t xml:space="preserve">records </w:t>
      </w:r>
      <w:r w:rsidR="00E662CE">
        <w:t xml:space="preserve">authored by the worker </w:t>
      </w:r>
      <w:r w:rsidR="00B54C90">
        <w:t xml:space="preserve">were nevertheless admissible </w:t>
      </w:r>
      <w:r w:rsidR="002749A8">
        <w:t xml:space="preserve">as a declaration of a decedent. </w:t>
      </w:r>
      <w:r w:rsidR="00E662CE">
        <w:t xml:space="preserve">Section 65 of </w:t>
      </w:r>
      <w:r w:rsidR="002749A8">
        <w:t>G.L. c. 233 provides that “</w:t>
      </w:r>
      <w:r w:rsidR="00E662CE">
        <w:t>a</w:t>
      </w:r>
      <w:r w:rsidR="00EF7E55">
        <w:t xml:space="preserve"> declaration of a deceased person </w:t>
      </w:r>
      <w:r w:rsidR="002749A8">
        <w:t>shall not be in</w:t>
      </w:r>
      <w:r w:rsidR="00EF7E55">
        <w:t xml:space="preserve">admissible in evidence </w:t>
      </w:r>
      <w:r w:rsidR="002749A8">
        <w:t>as hearsay…</w:t>
      </w:r>
      <w:r w:rsidR="00EF7E55">
        <w:t>if the court finds that it was made in good faith and upon the personal knowledge of the declarant.</w:t>
      </w:r>
      <w:r w:rsidR="002749A8">
        <w:t>”</w:t>
      </w:r>
      <w:r w:rsidR="00EF7E55">
        <w:t xml:space="preserve"> </w:t>
      </w:r>
      <w:r w:rsidR="006C3E3C">
        <w:t xml:space="preserve">The Appeals Court </w:t>
      </w:r>
      <w:r w:rsidR="00267416">
        <w:t>reasoned that the documents were reliable because they were made based on the worker’s duty to r</w:t>
      </w:r>
      <w:bookmarkStart w:id="0" w:name="_GoBack"/>
      <w:bookmarkEnd w:id="0"/>
      <w:r w:rsidR="00267416">
        <w:t>eport the information</w:t>
      </w:r>
      <w:r w:rsidR="00E662CE">
        <w:t>, and no one argued that they were made without a good faith basis</w:t>
      </w:r>
      <w:r w:rsidR="00267416">
        <w:t xml:space="preserve">. </w:t>
      </w:r>
    </w:p>
    <w:p w:rsidR="00E662CE" w:rsidRDefault="00E662CE" w:rsidP="00C06444">
      <w:pPr>
        <w:spacing w:line="240" w:lineRule="auto"/>
      </w:pPr>
      <w:r>
        <w:t xml:space="preserve">Further, the Appeals Court rejected the mother’s arguments that the court improperly admitted second-level hearsay in the DCF records.  The </w:t>
      </w:r>
      <w:r w:rsidR="00D837C7">
        <w:t xml:space="preserve">Court, relying on dicta in </w:t>
      </w:r>
      <w:r w:rsidR="00D837C7" w:rsidRPr="001A401E">
        <w:rPr>
          <w:u w:val="single"/>
        </w:rPr>
        <w:t>Adoption of George</w:t>
      </w:r>
      <w:r w:rsidR="00D837C7">
        <w:t xml:space="preserve">, 27 Mass. App. Ct. 265 (1989), held that second-level hearsay was admissible in DCF reports, “with opinion, evaluation, and judgment material edited </w:t>
      </w:r>
      <w:proofErr w:type="gramStart"/>
      <w:r w:rsidR="00D837C7">
        <w:t>out[</w:t>
      </w:r>
      <w:proofErr w:type="gramEnd"/>
      <w:r w:rsidR="00D837C7">
        <w:t xml:space="preserve">.]”  </w:t>
      </w:r>
      <w:r w:rsidR="00233482">
        <w:t xml:space="preserve">The hearsay was presumably reliable because it came from service providers with an obligation to make accurate reports to DCF.  </w:t>
      </w:r>
      <w:r w:rsidR="00D837C7">
        <w:t xml:space="preserve">The burden was on the mother to subpoena and cross-examine the declarants.  </w:t>
      </w:r>
    </w:p>
    <w:p w:rsidR="00870600" w:rsidRDefault="00AA2B05" w:rsidP="00AA2B05">
      <w:pPr>
        <w:spacing w:line="240" w:lineRule="auto"/>
      </w:pPr>
      <w:r w:rsidRPr="002B0C60">
        <w:rPr>
          <w:i/>
        </w:rPr>
        <w:t xml:space="preserve">Practice Tip: </w:t>
      </w:r>
      <w:r w:rsidR="00D837C7">
        <w:t xml:space="preserve">If it sounds like the Appeals Court in </w:t>
      </w:r>
      <w:r w:rsidR="00D837C7" w:rsidRPr="001A401E">
        <w:rPr>
          <w:u w:val="single"/>
        </w:rPr>
        <w:t>Luc</w:t>
      </w:r>
      <w:r w:rsidR="00D837C7">
        <w:t xml:space="preserve"> confused the rules governing hearsay in </w:t>
      </w:r>
      <w:r w:rsidR="00D837C7" w:rsidRPr="001A401E">
        <w:rPr>
          <w:i/>
        </w:rPr>
        <w:t>official records</w:t>
      </w:r>
      <w:r w:rsidR="00D837C7">
        <w:t xml:space="preserve"> with the rules governing hearsay in </w:t>
      </w:r>
      <w:r w:rsidR="00D837C7" w:rsidRPr="001A401E">
        <w:rPr>
          <w:i/>
        </w:rPr>
        <w:t>court investigator reports</w:t>
      </w:r>
      <w:r w:rsidR="00D837C7">
        <w:t xml:space="preserve">, it did.  </w:t>
      </w:r>
      <w:r w:rsidR="004425D7">
        <w:t xml:space="preserve">This decision is inconsistent with the general rule in Massachusetts that hearsay is </w:t>
      </w:r>
      <w:r w:rsidR="004425D7" w:rsidRPr="006D28ED">
        <w:rPr>
          <w:i/>
        </w:rPr>
        <w:t>not</w:t>
      </w:r>
      <w:r w:rsidR="004425D7">
        <w:t xml:space="preserve"> admissible in official records, unless the statements themselves satisfy some other exception to the hearsay rule. </w:t>
      </w:r>
      <w:r w:rsidR="004425D7" w:rsidRPr="004425D7">
        <w:rPr>
          <w:u w:val="single"/>
        </w:rPr>
        <w:t>See</w:t>
      </w:r>
      <w:r w:rsidR="004425D7">
        <w:t xml:space="preserve"> </w:t>
      </w:r>
      <w:proofErr w:type="spellStart"/>
      <w:r w:rsidR="004425D7" w:rsidRPr="004425D7">
        <w:rPr>
          <w:u w:val="single"/>
        </w:rPr>
        <w:t>Sklar</w:t>
      </w:r>
      <w:proofErr w:type="spellEnd"/>
      <w:r w:rsidR="004425D7" w:rsidRPr="004425D7">
        <w:rPr>
          <w:u w:val="single"/>
        </w:rPr>
        <w:t xml:space="preserve"> v. Beth Israel Deaconess Med. Ctr.</w:t>
      </w:r>
      <w:r w:rsidR="004425D7">
        <w:t xml:space="preserve">, 59 Mass. App. Ct. 550, 556 n.8 (2003); </w:t>
      </w:r>
      <w:r w:rsidR="004425D7" w:rsidRPr="004425D7">
        <w:rPr>
          <w:u w:val="single"/>
        </w:rPr>
        <w:t>Kelly v. O’Neill</w:t>
      </w:r>
      <w:r w:rsidR="004425D7">
        <w:t xml:space="preserve">, 1 Mass. App. Ct. 313, 318-19 (1973). </w:t>
      </w:r>
      <w:r w:rsidR="00D837C7">
        <w:t xml:space="preserve">Thankfully, </w:t>
      </w:r>
      <w:r w:rsidR="00C84193">
        <w:t xml:space="preserve">the mother is seeking further appellate review. If the SJC takes this case, </w:t>
      </w:r>
      <w:r w:rsidR="00D837C7">
        <w:t xml:space="preserve">the Appeals Court’s </w:t>
      </w:r>
      <w:r w:rsidR="00C84193">
        <w:t xml:space="preserve">decision </w:t>
      </w:r>
      <w:r w:rsidR="00D837C7">
        <w:t>does not take</w:t>
      </w:r>
      <w:r w:rsidR="00870600">
        <w:t xml:space="preserve"> </w:t>
      </w:r>
      <w:r w:rsidR="00C84193">
        <w:t xml:space="preserve">effect. </w:t>
      </w:r>
      <w:r w:rsidR="00C84193">
        <w:lastRenderedPageBreak/>
        <w:t xml:space="preserve">But if the SJC denies the mother’s request for FAR, this will be the law. </w:t>
      </w:r>
      <w:r w:rsidR="004425D7">
        <w:t xml:space="preserve">We will keep you posted on any developments in this important case. </w:t>
      </w:r>
    </w:p>
    <w:p w:rsidR="00134FE6" w:rsidRDefault="00D837C7" w:rsidP="00AA2B05">
      <w:pPr>
        <w:spacing w:line="240" w:lineRule="auto"/>
      </w:pPr>
      <w:r>
        <w:t xml:space="preserve">If </w:t>
      </w:r>
      <w:r w:rsidRPr="001A401E">
        <w:rPr>
          <w:u w:val="single"/>
        </w:rPr>
        <w:t>Luc</w:t>
      </w:r>
      <w:r>
        <w:t xml:space="preserve"> stands</w:t>
      </w:r>
      <w:r w:rsidR="00C84193" w:rsidRPr="00C84193">
        <w:t xml:space="preserve">, </w:t>
      </w:r>
      <w:r w:rsidR="00C84193">
        <w:t xml:space="preserve">counsel may face serious strategic decisions. </w:t>
      </w:r>
      <w:r w:rsidR="00870600">
        <w:t>The admissibility or inadmissibility of hearsay in DCF records can be outcome</w:t>
      </w:r>
      <w:r>
        <w:t>-</w:t>
      </w:r>
      <w:r w:rsidR="00870600">
        <w:t xml:space="preserve">determinative at a </w:t>
      </w:r>
      <w:r>
        <w:t>72-</w:t>
      </w:r>
      <w:r w:rsidR="00870600">
        <w:t xml:space="preserve">hour hearing and at trial. </w:t>
      </w:r>
      <w:r w:rsidR="00C84193">
        <w:t>Counsel should argue that multi-</w:t>
      </w:r>
      <w:r w:rsidR="00134FE6" w:rsidRPr="00C84193">
        <w:t xml:space="preserve">level hearsay should not be admitted at </w:t>
      </w:r>
      <w:r w:rsidR="00C84193">
        <w:t xml:space="preserve">a </w:t>
      </w:r>
      <w:r>
        <w:t>72-</w:t>
      </w:r>
      <w:r w:rsidR="00134FE6" w:rsidRPr="00C84193">
        <w:t>hour hearing because there is no time to subpoena a</w:t>
      </w:r>
      <w:r w:rsidR="00870600">
        <w:t xml:space="preserve">ll of the sources of hearsay. Alternatively, counsel may request a continuance to subpoena the sources. But </w:t>
      </w:r>
      <w:r w:rsidR="00233482">
        <w:t>this</w:t>
      </w:r>
      <w:r w:rsidR="00870600">
        <w:t xml:space="preserve"> is a Hobson’s choice; </w:t>
      </w:r>
      <w:r w:rsidR="00134FE6" w:rsidRPr="00C84193">
        <w:t xml:space="preserve">lose </w:t>
      </w:r>
      <w:r w:rsidR="00870600">
        <w:t>the</w:t>
      </w:r>
      <w:r w:rsidR="00134FE6" w:rsidRPr="00C84193">
        <w:t xml:space="preserve"> right to a hearing in </w:t>
      </w:r>
      <w:r w:rsidR="00233482">
        <w:t>72</w:t>
      </w:r>
      <w:r w:rsidR="00870600">
        <w:t xml:space="preserve"> </w:t>
      </w:r>
      <w:r w:rsidR="00134FE6" w:rsidRPr="00C84193">
        <w:t xml:space="preserve">hours </w:t>
      </w:r>
      <w:r w:rsidR="00870600">
        <w:t>or</w:t>
      </w:r>
      <w:r w:rsidR="00134FE6" w:rsidRPr="00C84193">
        <w:t xml:space="preserve"> lose </w:t>
      </w:r>
      <w:r w:rsidR="00870600">
        <w:t xml:space="preserve">the </w:t>
      </w:r>
      <w:r w:rsidR="00134FE6" w:rsidRPr="00C84193">
        <w:t xml:space="preserve">right to </w:t>
      </w:r>
      <w:r w:rsidR="00870600">
        <w:t xml:space="preserve">challenge the </w:t>
      </w:r>
      <w:r w:rsidR="00233482">
        <w:t xml:space="preserve">hearsay </w:t>
      </w:r>
      <w:r w:rsidR="00870600">
        <w:t>by cross-</w:t>
      </w:r>
      <w:r w:rsidR="00134FE6" w:rsidRPr="00C84193">
        <w:t>examining the sources.</w:t>
      </w:r>
    </w:p>
    <w:p w:rsidR="004739BD" w:rsidRDefault="004739BD" w:rsidP="00870600">
      <w:pPr>
        <w:spacing w:line="240" w:lineRule="auto"/>
      </w:pPr>
      <w:r>
        <w:t>The touchstone for any hearsay exception is reliability. The second-level hearsay that the Appeals Court concluded was reliable</w:t>
      </w:r>
      <w:r w:rsidR="00233482">
        <w:t xml:space="preserve"> in </w:t>
      </w:r>
      <w:r w:rsidR="00233482" w:rsidRPr="001A401E">
        <w:rPr>
          <w:u w:val="single"/>
        </w:rPr>
        <w:t>Luc</w:t>
      </w:r>
      <w:r>
        <w:t xml:space="preserve"> </w:t>
      </w:r>
      <w:r w:rsidR="00233482">
        <w:t xml:space="preserve">(based on </w:t>
      </w:r>
      <w:r w:rsidR="00233482" w:rsidRPr="001A401E">
        <w:rPr>
          <w:u w:val="single"/>
        </w:rPr>
        <w:t>George</w:t>
      </w:r>
      <w:r w:rsidR="00233482">
        <w:t>)</w:t>
      </w:r>
      <w:r>
        <w:t xml:space="preserve"> was attributed to </w:t>
      </w:r>
      <w:r w:rsidR="00130423">
        <w:t xml:space="preserve">service providers, i.e., </w:t>
      </w:r>
      <w:r>
        <w:t xml:space="preserve">mandated reporters charged with reporting the information to DCF as a matter of duty and routine. Counsel </w:t>
      </w:r>
      <w:r w:rsidR="00233482">
        <w:t xml:space="preserve">should </w:t>
      </w:r>
      <w:r>
        <w:t xml:space="preserve">argue that hearsay </w:t>
      </w:r>
      <w:r w:rsidR="00130423">
        <w:t xml:space="preserve">of </w:t>
      </w:r>
      <w:r>
        <w:t>non-m</w:t>
      </w:r>
      <w:r w:rsidR="00946E63">
        <w:t>andated reporters</w:t>
      </w:r>
      <w:r w:rsidR="00233482">
        <w:t xml:space="preserve"> – friends</w:t>
      </w:r>
      <w:r>
        <w:t>, neigh</w:t>
      </w:r>
      <w:r w:rsidR="00946E63">
        <w:t>bors, relatives, children, etc.</w:t>
      </w:r>
      <w:r w:rsidR="00233482">
        <w:t xml:space="preserve"> – and </w:t>
      </w:r>
      <w:r w:rsidR="00946E63">
        <w:t>unattributed hearsay</w:t>
      </w:r>
      <w:r>
        <w:t xml:space="preserve"> </w:t>
      </w:r>
      <w:r w:rsidR="00130423">
        <w:t>lack the re</w:t>
      </w:r>
      <w:r w:rsidR="00946E63">
        <w:t xml:space="preserve">quisite indicia of reliability </w:t>
      </w:r>
      <w:r w:rsidR="00130423">
        <w:t xml:space="preserve">and should be excluded.  </w:t>
      </w:r>
    </w:p>
    <w:p w:rsidR="00870600" w:rsidRPr="00C84193" w:rsidRDefault="00870600" w:rsidP="00AA2B05">
      <w:pPr>
        <w:spacing w:line="240" w:lineRule="auto"/>
      </w:pPr>
    </w:p>
    <w:p w:rsidR="00134FE6" w:rsidRDefault="00134FE6" w:rsidP="00AA2B05">
      <w:pPr>
        <w:spacing w:line="240" w:lineRule="auto"/>
        <w:rPr>
          <w:rFonts w:ascii="Calibri" w:hAnsi="Calibri"/>
          <w:color w:val="1F497D"/>
          <w:sz w:val="22"/>
          <w:szCs w:val="22"/>
        </w:rPr>
      </w:pPr>
    </w:p>
    <w:p w:rsidR="00134FE6" w:rsidRPr="002B0C60" w:rsidRDefault="00134FE6" w:rsidP="00AA2B05">
      <w:pPr>
        <w:spacing w:line="240" w:lineRule="auto"/>
      </w:pPr>
    </w:p>
    <w:sectPr w:rsidR="00134FE6" w:rsidRPr="002B0C60" w:rsidSect="005224C1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23" w:rsidRDefault="00130423" w:rsidP="005224C1">
      <w:pPr>
        <w:spacing w:after="0" w:line="240" w:lineRule="auto"/>
      </w:pPr>
      <w:r>
        <w:separator/>
      </w:r>
    </w:p>
  </w:endnote>
  <w:endnote w:type="continuationSeparator" w:id="0">
    <w:p w:rsidR="00130423" w:rsidRDefault="00130423" w:rsidP="0052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423" w:rsidRDefault="00130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423" w:rsidRDefault="00130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23" w:rsidRDefault="00130423" w:rsidP="005224C1">
      <w:pPr>
        <w:spacing w:after="0" w:line="240" w:lineRule="auto"/>
      </w:pPr>
      <w:r>
        <w:separator/>
      </w:r>
    </w:p>
  </w:footnote>
  <w:footnote w:type="continuationSeparator" w:id="0">
    <w:p w:rsidR="00130423" w:rsidRDefault="00130423" w:rsidP="00522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05"/>
    <w:rsid w:val="000925A5"/>
    <w:rsid w:val="000A33A7"/>
    <w:rsid w:val="000C61C4"/>
    <w:rsid w:val="00101BD5"/>
    <w:rsid w:val="00130423"/>
    <w:rsid w:val="00134FE6"/>
    <w:rsid w:val="001971CC"/>
    <w:rsid w:val="001A401E"/>
    <w:rsid w:val="001C0708"/>
    <w:rsid w:val="001D1859"/>
    <w:rsid w:val="00233482"/>
    <w:rsid w:val="00267416"/>
    <w:rsid w:val="002749A8"/>
    <w:rsid w:val="00293A5C"/>
    <w:rsid w:val="002B0C60"/>
    <w:rsid w:val="003340CF"/>
    <w:rsid w:val="003748DE"/>
    <w:rsid w:val="003C28D7"/>
    <w:rsid w:val="004425D7"/>
    <w:rsid w:val="00465A3F"/>
    <w:rsid w:val="004739BD"/>
    <w:rsid w:val="004D639C"/>
    <w:rsid w:val="004D6A4C"/>
    <w:rsid w:val="004E48DD"/>
    <w:rsid w:val="004E62BD"/>
    <w:rsid w:val="005224C1"/>
    <w:rsid w:val="005575B4"/>
    <w:rsid w:val="00622C7B"/>
    <w:rsid w:val="00676376"/>
    <w:rsid w:val="00676E7B"/>
    <w:rsid w:val="006A42E9"/>
    <w:rsid w:val="006C3E3C"/>
    <w:rsid w:val="006D28ED"/>
    <w:rsid w:val="007101DD"/>
    <w:rsid w:val="007C2068"/>
    <w:rsid w:val="00843948"/>
    <w:rsid w:val="008540D0"/>
    <w:rsid w:val="0086146D"/>
    <w:rsid w:val="00867422"/>
    <w:rsid w:val="00870600"/>
    <w:rsid w:val="00897761"/>
    <w:rsid w:val="009206A9"/>
    <w:rsid w:val="00946E63"/>
    <w:rsid w:val="00980F70"/>
    <w:rsid w:val="009E1C71"/>
    <w:rsid w:val="009F70A3"/>
    <w:rsid w:val="00AA2B05"/>
    <w:rsid w:val="00AC2008"/>
    <w:rsid w:val="00AE6696"/>
    <w:rsid w:val="00AE690B"/>
    <w:rsid w:val="00B21B0A"/>
    <w:rsid w:val="00B33C99"/>
    <w:rsid w:val="00B53740"/>
    <w:rsid w:val="00B54C90"/>
    <w:rsid w:val="00B8502F"/>
    <w:rsid w:val="00B90DBE"/>
    <w:rsid w:val="00BC7BB5"/>
    <w:rsid w:val="00BE73CE"/>
    <w:rsid w:val="00C00A3A"/>
    <w:rsid w:val="00C06444"/>
    <w:rsid w:val="00C17262"/>
    <w:rsid w:val="00C44C81"/>
    <w:rsid w:val="00C750F8"/>
    <w:rsid w:val="00C84193"/>
    <w:rsid w:val="00C90FDE"/>
    <w:rsid w:val="00D11442"/>
    <w:rsid w:val="00D173CB"/>
    <w:rsid w:val="00D257C0"/>
    <w:rsid w:val="00D37C75"/>
    <w:rsid w:val="00D57972"/>
    <w:rsid w:val="00D64685"/>
    <w:rsid w:val="00D837C7"/>
    <w:rsid w:val="00DB2CDC"/>
    <w:rsid w:val="00E3650C"/>
    <w:rsid w:val="00E42026"/>
    <w:rsid w:val="00E662CE"/>
    <w:rsid w:val="00EF57FF"/>
    <w:rsid w:val="00EF7E55"/>
    <w:rsid w:val="00F61863"/>
    <w:rsid w:val="00FA0EB8"/>
    <w:rsid w:val="00FA7395"/>
    <w:rsid w:val="00FB74C9"/>
    <w:rsid w:val="00FE36BE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674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2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C1"/>
  </w:style>
  <w:style w:type="paragraph" w:styleId="Footer">
    <w:name w:val="footer"/>
    <w:basedOn w:val="Normal"/>
    <w:link w:val="FooterChar"/>
    <w:uiPriority w:val="99"/>
    <w:unhideWhenUsed/>
    <w:rsid w:val="00522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C1"/>
  </w:style>
  <w:style w:type="character" w:styleId="CommentReference">
    <w:name w:val="annotation reference"/>
    <w:basedOn w:val="DefaultParagraphFont"/>
    <w:uiPriority w:val="99"/>
    <w:semiHidden/>
    <w:unhideWhenUsed/>
    <w:rsid w:val="00D6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8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674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2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C1"/>
  </w:style>
  <w:style w:type="paragraph" w:styleId="Footer">
    <w:name w:val="footer"/>
    <w:basedOn w:val="Normal"/>
    <w:link w:val="FooterChar"/>
    <w:uiPriority w:val="99"/>
    <w:unhideWhenUsed/>
    <w:rsid w:val="00522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C1"/>
  </w:style>
  <w:style w:type="character" w:styleId="CommentReference">
    <w:name w:val="annotation reference"/>
    <w:basedOn w:val="DefaultParagraphFont"/>
    <w:uiPriority w:val="99"/>
    <w:semiHidden/>
    <w:unhideWhenUsed/>
    <w:rsid w:val="00D6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iallaw.com/services/slip-opinions/slip-opinion-details/adoption-of-luc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Krywonis</dc:creator>
  <cp:lastModifiedBy>Elizabeth Broderick</cp:lastModifiedBy>
  <cp:revision>2</cp:revision>
  <cp:lastPrinted>2018-12-20T20:02:00Z</cp:lastPrinted>
  <dcterms:created xsi:type="dcterms:W3CDTF">2018-12-21T14:15:00Z</dcterms:created>
  <dcterms:modified xsi:type="dcterms:W3CDTF">2018-12-21T14:15:00Z</dcterms:modified>
</cp:coreProperties>
</file>