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2B859" w14:textId="77777777" w:rsidR="007D1C8F" w:rsidRPr="008121DD" w:rsidRDefault="007D1C8F" w:rsidP="007D1C8F">
      <w:pPr>
        <w:jc w:val="center"/>
        <w:rPr>
          <w:b/>
          <w:i/>
        </w:rPr>
      </w:pPr>
      <w:bookmarkStart w:id="0" w:name="_GoBack"/>
      <w:bookmarkEnd w:id="0"/>
      <w:r w:rsidRPr="008121DD">
        <w:rPr>
          <w:b/>
          <w:i/>
        </w:rPr>
        <w:t>Please note that this is a research memorandum produced by a law student intern.  CAFL cannot confirm that the research and analysis are accurate or current.  Counsel should not rely on this research; rather, it is intended to provide a jump-start for counsel’s own research.</w:t>
      </w:r>
    </w:p>
    <w:p w14:paraId="63827A7E" w14:textId="77777777" w:rsidR="00501367" w:rsidRDefault="00501367" w:rsidP="001F663F">
      <w:pPr>
        <w:jc w:val="center"/>
        <w:rPr>
          <w:rFonts w:ascii="Times New Roman" w:hAnsi="Times New Roman" w:cs="Times New Roman"/>
        </w:rPr>
      </w:pPr>
    </w:p>
    <w:p w14:paraId="76F567C7" w14:textId="77777777" w:rsidR="000E2B01" w:rsidRPr="00CA6ED6" w:rsidRDefault="00FD65A8" w:rsidP="001F663F">
      <w:pPr>
        <w:jc w:val="center"/>
        <w:rPr>
          <w:rFonts w:ascii="Times New Roman" w:hAnsi="Times New Roman" w:cs="Times New Roman"/>
        </w:rPr>
      </w:pPr>
      <w:r w:rsidRPr="00CA6ED6">
        <w:rPr>
          <w:rFonts w:ascii="Times New Roman" w:hAnsi="Times New Roman" w:cs="Times New Roman"/>
        </w:rPr>
        <w:t>MEMORANDUM</w:t>
      </w:r>
    </w:p>
    <w:p w14:paraId="3F9B41EB" w14:textId="4B145DC3" w:rsidR="00FD65A8" w:rsidRPr="00CA6ED6" w:rsidRDefault="00FD65A8" w:rsidP="001F663F">
      <w:pPr>
        <w:rPr>
          <w:rFonts w:ascii="Times New Roman" w:hAnsi="Times New Roman" w:cs="Times New Roman"/>
        </w:rPr>
      </w:pPr>
      <w:r w:rsidRPr="00CA6ED6">
        <w:rPr>
          <w:rFonts w:ascii="Times New Roman" w:hAnsi="Times New Roman" w:cs="Times New Roman"/>
        </w:rPr>
        <w:t xml:space="preserve">To: </w:t>
      </w:r>
      <w:r w:rsidR="00501367">
        <w:rPr>
          <w:rFonts w:ascii="Times New Roman" w:hAnsi="Times New Roman" w:cs="Times New Roman"/>
        </w:rPr>
        <w:tab/>
      </w:r>
      <w:r w:rsidRPr="00CA6ED6">
        <w:rPr>
          <w:rFonts w:ascii="Times New Roman" w:hAnsi="Times New Roman" w:cs="Times New Roman"/>
        </w:rPr>
        <w:t>Andy Cohen</w:t>
      </w:r>
    </w:p>
    <w:p w14:paraId="423C9B54" w14:textId="0FCD563E" w:rsidR="00FD65A8" w:rsidRPr="00CA6ED6" w:rsidRDefault="00FD65A8" w:rsidP="001F663F">
      <w:pPr>
        <w:rPr>
          <w:rFonts w:ascii="Times New Roman" w:hAnsi="Times New Roman" w:cs="Times New Roman"/>
        </w:rPr>
      </w:pPr>
      <w:r w:rsidRPr="00CA6ED6">
        <w:rPr>
          <w:rFonts w:ascii="Times New Roman" w:hAnsi="Times New Roman" w:cs="Times New Roman"/>
        </w:rPr>
        <w:t xml:space="preserve">From: </w:t>
      </w:r>
      <w:r w:rsidR="00501367">
        <w:rPr>
          <w:rFonts w:ascii="Times New Roman" w:hAnsi="Times New Roman" w:cs="Times New Roman"/>
        </w:rPr>
        <w:tab/>
        <w:t>[Intern]</w:t>
      </w:r>
    </w:p>
    <w:p w14:paraId="2A1FBFE1" w14:textId="15E10481" w:rsidR="00FD65A8" w:rsidRPr="00CA6ED6" w:rsidRDefault="00FD65A8" w:rsidP="001F663F">
      <w:pPr>
        <w:rPr>
          <w:rFonts w:ascii="Times New Roman" w:hAnsi="Times New Roman" w:cs="Times New Roman"/>
        </w:rPr>
      </w:pPr>
      <w:r w:rsidRPr="00CA6ED6">
        <w:rPr>
          <w:rFonts w:ascii="Times New Roman" w:hAnsi="Times New Roman" w:cs="Times New Roman"/>
        </w:rPr>
        <w:t xml:space="preserve">Date: </w:t>
      </w:r>
      <w:r w:rsidR="00501367">
        <w:rPr>
          <w:rFonts w:ascii="Times New Roman" w:hAnsi="Times New Roman" w:cs="Times New Roman"/>
        </w:rPr>
        <w:tab/>
      </w:r>
      <w:r w:rsidR="007D1345">
        <w:rPr>
          <w:rFonts w:ascii="Times New Roman" w:hAnsi="Times New Roman" w:cs="Times New Roman"/>
        </w:rPr>
        <w:t>November 23</w:t>
      </w:r>
      <w:r w:rsidRPr="00CA6ED6">
        <w:rPr>
          <w:rFonts w:ascii="Times New Roman" w:hAnsi="Times New Roman" w:cs="Times New Roman"/>
        </w:rPr>
        <w:t>, 2015</w:t>
      </w:r>
    </w:p>
    <w:p w14:paraId="1F10F6D4" w14:textId="32D910F1" w:rsidR="00FD65A8" w:rsidRPr="00CA6ED6" w:rsidRDefault="00FD65A8" w:rsidP="00501367">
      <w:pPr>
        <w:pBdr>
          <w:bottom w:val="single" w:sz="12" w:space="1" w:color="auto"/>
        </w:pBdr>
        <w:ind w:left="720" w:hanging="720"/>
        <w:rPr>
          <w:rFonts w:ascii="Times New Roman" w:hAnsi="Times New Roman" w:cs="Times New Roman"/>
        </w:rPr>
      </w:pPr>
      <w:r w:rsidRPr="00CA6ED6">
        <w:rPr>
          <w:rFonts w:ascii="Times New Roman" w:hAnsi="Times New Roman" w:cs="Times New Roman"/>
        </w:rPr>
        <w:t xml:space="preserve">Re: </w:t>
      </w:r>
      <w:r w:rsidR="00501367">
        <w:rPr>
          <w:rFonts w:ascii="Times New Roman" w:hAnsi="Times New Roman" w:cs="Times New Roman"/>
        </w:rPr>
        <w:tab/>
      </w:r>
      <w:r w:rsidR="0050517C">
        <w:rPr>
          <w:rFonts w:ascii="Times New Roman" w:hAnsi="Times New Roman" w:cs="Times New Roman"/>
        </w:rPr>
        <w:t>Hearsay Statements by DCF</w:t>
      </w:r>
      <w:r w:rsidR="00C6337A">
        <w:rPr>
          <w:rFonts w:ascii="Times New Roman" w:hAnsi="Times New Roman" w:cs="Times New Roman"/>
        </w:rPr>
        <w:t>’s Internal</w:t>
      </w:r>
      <w:r w:rsidR="0050517C">
        <w:rPr>
          <w:rFonts w:ascii="Times New Roman" w:hAnsi="Times New Roman" w:cs="Times New Roman"/>
        </w:rPr>
        <w:t xml:space="preserve"> “Specialists” and </w:t>
      </w:r>
      <w:r w:rsidR="00C6337A">
        <w:rPr>
          <w:rFonts w:ascii="Times New Roman" w:hAnsi="Times New Roman" w:cs="Times New Roman"/>
        </w:rPr>
        <w:t xml:space="preserve">by </w:t>
      </w:r>
      <w:r w:rsidR="0050517C">
        <w:rPr>
          <w:rFonts w:ascii="Times New Roman" w:hAnsi="Times New Roman" w:cs="Times New Roman"/>
        </w:rPr>
        <w:t>Foster Parents</w:t>
      </w:r>
      <w:r w:rsidR="007D1345">
        <w:rPr>
          <w:rFonts w:ascii="Times New Roman" w:hAnsi="Times New Roman" w:cs="Times New Roman"/>
        </w:rPr>
        <w:t xml:space="preserve"> </w:t>
      </w:r>
      <w:r w:rsidR="00C6337A">
        <w:rPr>
          <w:rFonts w:ascii="Times New Roman" w:hAnsi="Times New Roman" w:cs="Times New Roman"/>
        </w:rPr>
        <w:t>- Are They “Admissions” a</w:t>
      </w:r>
      <w:r w:rsidR="000B588A">
        <w:rPr>
          <w:rFonts w:ascii="Times New Roman" w:hAnsi="Times New Roman" w:cs="Times New Roman"/>
        </w:rPr>
        <w:t>gainst DCF?</w:t>
      </w:r>
    </w:p>
    <w:p w14:paraId="113FA02C" w14:textId="77777777" w:rsidR="00C6337A" w:rsidRDefault="00C6337A" w:rsidP="00C6337A">
      <w:pPr>
        <w:jc w:val="center"/>
        <w:rPr>
          <w:rFonts w:ascii="Times New Roman" w:hAnsi="Times New Roman" w:cs="Times New Roman"/>
          <w:b/>
        </w:rPr>
      </w:pPr>
    </w:p>
    <w:p w14:paraId="68D9DF8E" w14:textId="77777777" w:rsidR="00FD65A8" w:rsidRPr="00C8216B" w:rsidRDefault="00FD65A8" w:rsidP="001F663F">
      <w:pPr>
        <w:spacing w:line="480" w:lineRule="auto"/>
        <w:jc w:val="center"/>
        <w:rPr>
          <w:rFonts w:ascii="Times New Roman" w:hAnsi="Times New Roman" w:cs="Times New Roman"/>
          <w:b/>
        </w:rPr>
      </w:pPr>
      <w:r w:rsidRPr="00C8216B">
        <w:rPr>
          <w:rFonts w:ascii="Times New Roman" w:hAnsi="Times New Roman" w:cs="Times New Roman"/>
          <w:b/>
        </w:rPr>
        <w:t>Question Present</w:t>
      </w:r>
    </w:p>
    <w:p w14:paraId="096241CD" w14:textId="66BA7CFA" w:rsidR="00FD65A8" w:rsidRPr="00CA6ED6" w:rsidRDefault="006F643F" w:rsidP="001F663F">
      <w:pPr>
        <w:spacing w:line="480" w:lineRule="auto"/>
        <w:rPr>
          <w:rFonts w:ascii="Times New Roman" w:hAnsi="Times New Roman" w:cs="Times New Roman"/>
        </w:rPr>
      </w:pPr>
      <w:r>
        <w:rPr>
          <w:rFonts w:ascii="Times New Roman" w:hAnsi="Times New Roman" w:cs="Times New Roman"/>
        </w:rPr>
        <w:t>Are</w:t>
      </w:r>
      <w:r w:rsidR="00FD65A8" w:rsidRPr="00CA6ED6">
        <w:rPr>
          <w:rFonts w:ascii="Times New Roman" w:hAnsi="Times New Roman" w:cs="Times New Roman"/>
        </w:rPr>
        <w:t xml:space="preserve"> </w:t>
      </w:r>
      <w:r w:rsidR="00CE2A40" w:rsidRPr="00CA6ED6">
        <w:rPr>
          <w:rFonts w:ascii="Times New Roman" w:hAnsi="Times New Roman" w:cs="Times New Roman"/>
        </w:rPr>
        <w:t xml:space="preserve">favorable </w:t>
      </w:r>
      <w:r w:rsidR="00A52FAA">
        <w:rPr>
          <w:rFonts w:ascii="Times New Roman" w:hAnsi="Times New Roman" w:cs="Times New Roman"/>
        </w:rPr>
        <w:t xml:space="preserve">hearsay </w:t>
      </w:r>
      <w:r w:rsidR="00CE2A40" w:rsidRPr="00CA6ED6">
        <w:rPr>
          <w:rFonts w:ascii="Times New Roman" w:hAnsi="Times New Roman" w:cs="Times New Roman"/>
        </w:rPr>
        <w:t>statements made to a DCF social worker by (1) a DCF domestic violence counselor</w:t>
      </w:r>
      <w:r>
        <w:rPr>
          <w:rFonts w:ascii="Times New Roman" w:hAnsi="Times New Roman" w:cs="Times New Roman"/>
        </w:rPr>
        <w:t xml:space="preserve"> and</w:t>
      </w:r>
      <w:r w:rsidR="00CE2A40" w:rsidRPr="00CA6ED6">
        <w:rPr>
          <w:rFonts w:ascii="Times New Roman" w:hAnsi="Times New Roman" w:cs="Times New Roman"/>
        </w:rPr>
        <w:t xml:space="preserve"> (2) a foster parent </w:t>
      </w:r>
      <w:r>
        <w:rPr>
          <w:rFonts w:ascii="Times New Roman" w:hAnsi="Times New Roman" w:cs="Times New Roman"/>
        </w:rPr>
        <w:t>admissible</w:t>
      </w:r>
      <w:r w:rsidR="00A52FAA">
        <w:rPr>
          <w:rFonts w:ascii="Times New Roman" w:hAnsi="Times New Roman" w:cs="Times New Roman"/>
        </w:rPr>
        <w:t xml:space="preserve"> as </w:t>
      </w:r>
      <w:r w:rsidR="00CE2A40" w:rsidRPr="00CA6ED6">
        <w:rPr>
          <w:rFonts w:ascii="Times New Roman" w:hAnsi="Times New Roman" w:cs="Times New Roman"/>
        </w:rPr>
        <w:t>vicarious admission</w:t>
      </w:r>
      <w:r w:rsidR="00A52FAA">
        <w:rPr>
          <w:rFonts w:ascii="Times New Roman" w:hAnsi="Times New Roman" w:cs="Times New Roman"/>
        </w:rPr>
        <w:t>s</w:t>
      </w:r>
      <w:r>
        <w:rPr>
          <w:rFonts w:ascii="Times New Roman" w:hAnsi="Times New Roman" w:cs="Times New Roman"/>
        </w:rPr>
        <w:t xml:space="preserve"> (or vicarious statement</w:t>
      </w:r>
      <w:r w:rsidR="00A52FAA">
        <w:rPr>
          <w:rFonts w:ascii="Times New Roman" w:hAnsi="Times New Roman" w:cs="Times New Roman"/>
        </w:rPr>
        <w:t>s of a party-opponent)</w:t>
      </w:r>
      <w:r>
        <w:rPr>
          <w:rFonts w:ascii="Times New Roman" w:hAnsi="Times New Roman" w:cs="Times New Roman"/>
        </w:rPr>
        <w:t xml:space="preserve"> against DCF when offered by an adverse party?</w:t>
      </w:r>
    </w:p>
    <w:p w14:paraId="19830894" w14:textId="77777777" w:rsidR="00FD65A8" w:rsidRPr="00C8216B" w:rsidRDefault="00FD65A8" w:rsidP="001F663F">
      <w:pPr>
        <w:spacing w:line="480" w:lineRule="auto"/>
        <w:jc w:val="center"/>
        <w:rPr>
          <w:rFonts w:ascii="Times New Roman" w:hAnsi="Times New Roman" w:cs="Times New Roman"/>
          <w:b/>
        </w:rPr>
      </w:pPr>
      <w:r w:rsidRPr="00C8216B">
        <w:rPr>
          <w:rFonts w:ascii="Times New Roman" w:hAnsi="Times New Roman" w:cs="Times New Roman"/>
          <w:b/>
        </w:rPr>
        <w:t>Short Answer</w:t>
      </w:r>
    </w:p>
    <w:p w14:paraId="48FB8BFF" w14:textId="19653A82" w:rsidR="00CE2A40" w:rsidRPr="00CA6ED6" w:rsidRDefault="00CE2A40" w:rsidP="001F663F">
      <w:pPr>
        <w:spacing w:line="480" w:lineRule="auto"/>
        <w:rPr>
          <w:rFonts w:ascii="Times New Roman" w:hAnsi="Times New Roman" w:cs="Times New Roman"/>
        </w:rPr>
      </w:pPr>
      <w:r w:rsidRPr="00CA6ED6">
        <w:rPr>
          <w:rFonts w:ascii="Times New Roman" w:hAnsi="Times New Roman" w:cs="Times New Roman"/>
        </w:rPr>
        <w:t xml:space="preserve">(1) </w:t>
      </w:r>
      <w:r w:rsidR="00C6337A">
        <w:rPr>
          <w:rFonts w:ascii="Times New Roman" w:hAnsi="Times New Roman" w:cs="Times New Roman"/>
        </w:rPr>
        <w:tab/>
      </w:r>
      <w:r w:rsidR="006F643F">
        <w:rPr>
          <w:rFonts w:ascii="Times New Roman" w:hAnsi="Times New Roman" w:cs="Times New Roman"/>
        </w:rPr>
        <w:t xml:space="preserve">Yes.  </w:t>
      </w:r>
      <w:r w:rsidRPr="00CA6ED6">
        <w:rPr>
          <w:rFonts w:ascii="Times New Roman" w:hAnsi="Times New Roman" w:cs="Times New Roman"/>
        </w:rPr>
        <w:t>Statements made by a domestic violence counsel</w:t>
      </w:r>
      <w:r w:rsidR="007D1345">
        <w:rPr>
          <w:rFonts w:ascii="Times New Roman" w:hAnsi="Times New Roman" w:cs="Times New Roman"/>
        </w:rPr>
        <w:t>or</w:t>
      </w:r>
      <w:r w:rsidRPr="00CA6ED6">
        <w:rPr>
          <w:rFonts w:ascii="Times New Roman" w:hAnsi="Times New Roman" w:cs="Times New Roman"/>
        </w:rPr>
        <w:t>, or other D</w:t>
      </w:r>
      <w:r w:rsidR="00A52FAA">
        <w:rPr>
          <w:rFonts w:ascii="Times New Roman" w:hAnsi="Times New Roman" w:cs="Times New Roman"/>
        </w:rPr>
        <w:t>CF employee</w:t>
      </w:r>
      <w:r w:rsidRPr="00CA6ED6">
        <w:rPr>
          <w:rFonts w:ascii="Times New Roman" w:hAnsi="Times New Roman" w:cs="Times New Roman"/>
        </w:rPr>
        <w:t xml:space="preserve">, </w:t>
      </w:r>
      <w:r w:rsidR="006F643F">
        <w:rPr>
          <w:rFonts w:ascii="Times New Roman" w:hAnsi="Times New Roman" w:cs="Times New Roman"/>
        </w:rPr>
        <w:t>may be admitted against DCF as an admission or statement of</w:t>
      </w:r>
      <w:r w:rsidRPr="00CA6ED6">
        <w:rPr>
          <w:rFonts w:ascii="Times New Roman" w:hAnsi="Times New Roman" w:cs="Times New Roman"/>
        </w:rPr>
        <w:t xml:space="preserve"> a party-opponent </w:t>
      </w:r>
      <w:r w:rsidR="006F643F">
        <w:rPr>
          <w:rFonts w:ascii="Times New Roman" w:hAnsi="Times New Roman" w:cs="Times New Roman"/>
        </w:rPr>
        <w:t>when offered by an adverse party.</w:t>
      </w:r>
    </w:p>
    <w:p w14:paraId="52ECC498" w14:textId="1BFE8BE3" w:rsidR="00FD65A8" w:rsidRPr="00CA6ED6" w:rsidRDefault="00CE2A40" w:rsidP="001F663F">
      <w:pPr>
        <w:spacing w:line="480" w:lineRule="auto"/>
        <w:rPr>
          <w:rFonts w:ascii="Times New Roman" w:hAnsi="Times New Roman" w:cs="Times New Roman"/>
        </w:rPr>
      </w:pPr>
      <w:r w:rsidRPr="00CA6ED6">
        <w:rPr>
          <w:rFonts w:ascii="Times New Roman" w:hAnsi="Times New Roman" w:cs="Times New Roman"/>
        </w:rPr>
        <w:t xml:space="preserve">(2) </w:t>
      </w:r>
      <w:r w:rsidR="00C6337A">
        <w:rPr>
          <w:rFonts w:ascii="Times New Roman" w:hAnsi="Times New Roman" w:cs="Times New Roman"/>
        </w:rPr>
        <w:tab/>
      </w:r>
      <w:r w:rsidR="00CB6BA3">
        <w:rPr>
          <w:rFonts w:ascii="Times New Roman" w:hAnsi="Times New Roman" w:cs="Times New Roman"/>
        </w:rPr>
        <w:t>Probably</w:t>
      </w:r>
      <w:r w:rsidR="007D1345">
        <w:rPr>
          <w:rFonts w:ascii="Times New Roman" w:hAnsi="Times New Roman" w:cs="Times New Roman"/>
        </w:rPr>
        <w:t>.  Foster parents are not DCF employees.  But</w:t>
      </w:r>
      <w:r w:rsidR="00CB6BA3">
        <w:rPr>
          <w:rFonts w:ascii="Times New Roman" w:hAnsi="Times New Roman" w:cs="Times New Roman"/>
        </w:rPr>
        <w:t xml:space="preserve"> they</w:t>
      </w:r>
      <w:r w:rsidR="006F643F">
        <w:rPr>
          <w:rFonts w:ascii="Times New Roman" w:hAnsi="Times New Roman" w:cs="Times New Roman"/>
        </w:rPr>
        <w:t xml:space="preserve"> are</w:t>
      </w:r>
      <w:r w:rsidR="00503DDC" w:rsidRPr="00CA6ED6">
        <w:rPr>
          <w:rFonts w:ascii="Times New Roman" w:hAnsi="Times New Roman" w:cs="Times New Roman"/>
        </w:rPr>
        <w:t xml:space="preserve"> </w:t>
      </w:r>
      <w:r w:rsidR="00CB6BA3">
        <w:rPr>
          <w:rFonts w:ascii="Times New Roman" w:hAnsi="Times New Roman" w:cs="Times New Roman"/>
        </w:rPr>
        <w:t xml:space="preserve">doing the work that DCF would itself have to do but for DCF’s decision to contract it out to a private agency.  Accordingly, by analogy to </w:t>
      </w:r>
      <w:r w:rsidR="00CB6BA3" w:rsidRPr="00CB6BA3">
        <w:rPr>
          <w:rFonts w:ascii="Times New Roman" w:hAnsi="Times New Roman" w:cs="Times New Roman"/>
          <w:i/>
        </w:rPr>
        <w:t>Adoption of Vidal</w:t>
      </w:r>
      <w:r w:rsidR="00CA19E5">
        <w:rPr>
          <w:rFonts w:ascii="Times New Roman" w:hAnsi="Times New Roman" w:cs="Times New Roman"/>
        </w:rPr>
        <w:t xml:space="preserve"> (assessment contracted out to private agency by DCF that would be an official record if written by DCF employee is, itself, an official record)</w:t>
      </w:r>
      <w:r w:rsidR="00CB6BA3">
        <w:rPr>
          <w:rFonts w:ascii="Times New Roman" w:hAnsi="Times New Roman" w:cs="Times New Roman"/>
        </w:rPr>
        <w:t>, foster parents’ out-of-court</w:t>
      </w:r>
      <w:r w:rsidR="007D1345">
        <w:rPr>
          <w:rFonts w:ascii="Times New Roman" w:hAnsi="Times New Roman" w:cs="Times New Roman"/>
        </w:rPr>
        <w:t xml:space="preserve"> statements </w:t>
      </w:r>
      <w:r w:rsidR="00503DDC" w:rsidRPr="00C6337A">
        <w:rPr>
          <w:rFonts w:ascii="Times New Roman" w:hAnsi="Times New Roman" w:cs="Times New Roman"/>
          <w:i/>
        </w:rPr>
        <w:t>may</w:t>
      </w:r>
      <w:r w:rsidR="00503DDC" w:rsidRPr="00CA6ED6">
        <w:rPr>
          <w:rFonts w:ascii="Times New Roman" w:hAnsi="Times New Roman" w:cs="Times New Roman"/>
        </w:rPr>
        <w:t xml:space="preserve"> be admitted</w:t>
      </w:r>
      <w:r w:rsidR="006F643F">
        <w:rPr>
          <w:rFonts w:ascii="Times New Roman" w:hAnsi="Times New Roman" w:cs="Times New Roman"/>
        </w:rPr>
        <w:t xml:space="preserve"> against DCF</w:t>
      </w:r>
      <w:r w:rsidR="00503DDC" w:rsidRPr="00CA6ED6">
        <w:rPr>
          <w:rFonts w:ascii="Times New Roman" w:hAnsi="Times New Roman" w:cs="Times New Roman"/>
        </w:rPr>
        <w:t xml:space="preserve"> as</w:t>
      </w:r>
      <w:r w:rsidR="006F643F">
        <w:rPr>
          <w:rFonts w:ascii="Times New Roman" w:hAnsi="Times New Roman" w:cs="Times New Roman"/>
        </w:rPr>
        <w:t xml:space="preserve"> admissions or</w:t>
      </w:r>
      <w:r w:rsidR="00503DDC" w:rsidRPr="00CA6ED6">
        <w:rPr>
          <w:rFonts w:ascii="Times New Roman" w:hAnsi="Times New Roman" w:cs="Times New Roman"/>
        </w:rPr>
        <w:t xml:space="preserve"> </w:t>
      </w:r>
      <w:r w:rsidRPr="00CA6ED6">
        <w:rPr>
          <w:rFonts w:ascii="Times New Roman" w:hAnsi="Times New Roman" w:cs="Times New Roman"/>
        </w:rPr>
        <w:t>statements of a</w:t>
      </w:r>
      <w:r w:rsidR="00503DDC" w:rsidRPr="00CA6ED6">
        <w:rPr>
          <w:rFonts w:ascii="Times New Roman" w:hAnsi="Times New Roman" w:cs="Times New Roman"/>
        </w:rPr>
        <w:t xml:space="preserve"> party-opponent </w:t>
      </w:r>
      <w:r w:rsidR="006F643F">
        <w:rPr>
          <w:rFonts w:ascii="Times New Roman" w:hAnsi="Times New Roman" w:cs="Times New Roman"/>
        </w:rPr>
        <w:t>when offered by an adverse party.</w:t>
      </w:r>
    </w:p>
    <w:p w14:paraId="603EE936" w14:textId="77777777" w:rsidR="00FD65A8" w:rsidRPr="00CA6ED6" w:rsidRDefault="00FD65A8" w:rsidP="001F663F">
      <w:pPr>
        <w:spacing w:line="480" w:lineRule="auto"/>
        <w:jc w:val="center"/>
        <w:rPr>
          <w:rFonts w:ascii="Times New Roman" w:hAnsi="Times New Roman" w:cs="Times New Roman"/>
        </w:rPr>
      </w:pPr>
      <w:r w:rsidRPr="00C8216B">
        <w:rPr>
          <w:rFonts w:ascii="Times New Roman" w:hAnsi="Times New Roman" w:cs="Times New Roman"/>
          <w:b/>
        </w:rPr>
        <w:t>Facts</w:t>
      </w:r>
    </w:p>
    <w:p w14:paraId="4025B2C6" w14:textId="53585BB3" w:rsidR="00CA6ED6" w:rsidRPr="00CA6ED6" w:rsidRDefault="00CE2A40" w:rsidP="001F663F">
      <w:pPr>
        <w:spacing w:line="480" w:lineRule="auto"/>
        <w:rPr>
          <w:rFonts w:ascii="Times New Roman" w:hAnsi="Times New Roman" w:cs="Times New Roman"/>
        </w:rPr>
      </w:pPr>
      <w:r w:rsidRPr="00CA6ED6">
        <w:rPr>
          <w:rFonts w:ascii="Times New Roman" w:hAnsi="Times New Roman" w:cs="Times New Roman"/>
        </w:rPr>
        <w:tab/>
        <w:t>DCF social worker Alice Allen (“Social Worker”) spoke with Mother’s domestic violence counselor</w:t>
      </w:r>
      <w:r w:rsidR="006F643F">
        <w:rPr>
          <w:rFonts w:ascii="Times New Roman" w:hAnsi="Times New Roman" w:cs="Times New Roman"/>
        </w:rPr>
        <w:t>,</w:t>
      </w:r>
      <w:r w:rsidRPr="00CA6ED6">
        <w:rPr>
          <w:rFonts w:ascii="Times New Roman" w:hAnsi="Times New Roman" w:cs="Times New Roman"/>
        </w:rPr>
        <w:t xml:space="preserve"> Mary Maynor (“Counselor”)</w:t>
      </w:r>
      <w:r w:rsidR="006F643F">
        <w:rPr>
          <w:rFonts w:ascii="Times New Roman" w:hAnsi="Times New Roman" w:cs="Times New Roman"/>
        </w:rPr>
        <w:t>,</w:t>
      </w:r>
      <w:r w:rsidRPr="00CA6ED6">
        <w:rPr>
          <w:rFonts w:ascii="Times New Roman" w:hAnsi="Times New Roman" w:cs="Times New Roman"/>
        </w:rPr>
        <w:t xml:space="preserve"> to discuss Mother’s progress.  Counsel</w:t>
      </w:r>
      <w:r w:rsidR="00CA6ED6">
        <w:rPr>
          <w:rFonts w:ascii="Times New Roman" w:hAnsi="Times New Roman" w:cs="Times New Roman"/>
        </w:rPr>
        <w:t>or</w:t>
      </w:r>
      <w:r w:rsidRPr="00CA6ED6">
        <w:rPr>
          <w:rFonts w:ascii="Times New Roman" w:hAnsi="Times New Roman" w:cs="Times New Roman"/>
        </w:rPr>
        <w:t xml:space="preserve"> stated </w:t>
      </w:r>
      <w:r w:rsidRPr="00CA6ED6">
        <w:rPr>
          <w:rFonts w:ascii="Times New Roman" w:hAnsi="Times New Roman" w:cs="Times New Roman"/>
        </w:rPr>
        <w:lastRenderedPageBreak/>
        <w:t xml:space="preserve">that “Mother has benefited greatly from counseling and understands her options to secure a safe and healthy environment for herself and her daughter.” </w:t>
      </w:r>
      <w:r w:rsidR="000B20AF" w:rsidRPr="00CA6ED6">
        <w:rPr>
          <w:rFonts w:ascii="Times New Roman" w:hAnsi="Times New Roman" w:cs="Times New Roman"/>
        </w:rPr>
        <w:t xml:space="preserve"> </w:t>
      </w:r>
      <w:r w:rsidRPr="00CA6ED6">
        <w:rPr>
          <w:rFonts w:ascii="Times New Roman" w:hAnsi="Times New Roman" w:cs="Times New Roman"/>
        </w:rPr>
        <w:t>Social Worker also met with the foster mother</w:t>
      </w:r>
      <w:r w:rsidR="006F643F">
        <w:rPr>
          <w:rFonts w:ascii="Times New Roman" w:hAnsi="Times New Roman" w:cs="Times New Roman"/>
        </w:rPr>
        <w:t>,</w:t>
      </w:r>
      <w:r w:rsidRPr="00CA6ED6">
        <w:rPr>
          <w:rFonts w:ascii="Times New Roman" w:hAnsi="Times New Roman" w:cs="Times New Roman"/>
        </w:rPr>
        <w:t xml:space="preserve"> Carrie Crane (“Foster Parent”). </w:t>
      </w:r>
      <w:r w:rsidR="000B20AF" w:rsidRPr="00CA6ED6">
        <w:rPr>
          <w:rFonts w:ascii="Times New Roman" w:hAnsi="Times New Roman" w:cs="Times New Roman"/>
        </w:rPr>
        <w:t xml:space="preserve"> </w:t>
      </w:r>
      <w:r w:rsidR="006F643F">
        <w:rPr>
          <w:rFonts w:ascii="Times New Roman" w:hAnsi="Times New Roman" w:cs="Times New Roman"/>
        </w:rPr>
        <w:t>Foster Parent told her</w:t>
      </w:r>
      <w:r w:rsidRPr="00CA6ED6">
        <w:rPr>
          <w:rFonts w:ascii="Times New Roman" w:hAnsi="Times New Roman" w:cs="Times New Roman"/>
        </w:rPr>
        <w:t xml:space="preserve"> that visits between Mother and her daughter have been successful, safe, and loving</w:t>
      </w:r>
      <w:r w:rsidR="006F643F">
        <w:rPr>
          <w:rFonts w:ascii="Times New Roman" w:hAnsi="Times New Roman" w:cs="Times New Roman"/>
        </w:rPr>
        <w:t>,</w:t>
      </w:r>
      <w:r w:rsidR="00CA6ED6">
        <w:rPr>
          <w:rFonts w:ascii="Times New Roman" w:hAnsi="Times New Roman" w:cs="Times New Roman"/>
        </w:rPr>
        <w:t xml:space="preserve"> and that Daughter is excited to return to a new home with Mother</w:t>
      </w:r>
      <w:r w:rsidRPr="00CA6ED6">
        <w:rPr>
          <w:rFonts w:ascii="Times New Roman" w:hAnsi="Times New Roman" w:cs="Times New Roman"/>
        </w:rPr>
        <w:t>.</w:t>
      </w:r>
      <w:r w:rsidR="00CA6ED6">
        <w:rPr>
          <w:rFonts w:ascii="Times New Roman" w:hAnsi="Times New Roman" w:cs="Times New Roman"/>
        </w:rPr>
        <w:t xml:space="preserve"> </w:t>
      </w:r>
      <w:r w:rsidRPr="00CA6ED6">
        <w:rPr>
          <w:rFonts w:ascii="Times New Roman" w:hAnsi="Times New Roman" w:cs="Times New Roman"/>
        </w:rPr>
        <w:t xml:space="preserve"> </w:t>
      </w:r>
      <w:r w:rsidR="00CB6BA3">
        <w:rPr>
          <w:rFonts w:ascii="Times New Roman" w:hAnsi="Times New Roman" w:cs="Times New Roman"/>
        </w:rPr>
        <w:t>During</w:t>
      </w:r>
      <w:r w:rsidR="006F643F">
        <w:rPr>
          <w:rFonts w:ascii="Times New Roman" w:hAnsi="Times New Roman" w:cs="Times New Roman"/>
        </w:rPr>
        <w:t xml:space="preserve"> Social Worker</w:t>
      </w:r>
      <w:r w:rsidR="00CB6BA3">
        <w:rPr>
          <w:rFonts w:ascii="Times New Roman" w:hAnsi="Times New Roman" w:cs="Times New Roman"/>
        </w:rPr>
        <w:t>’s trial testimony</w:t>
      </w:r>
      <w:r w:rsidR="006F643F">
        <w:rPr>
          <w:rFonts w:ascii="Times New Roman" w:hAnsi="Times New Roman" w:cs="Times New Roman"/>
        </w:rPr>
        <w:t>, Mother’s counsel sought</w:t>
      </w:r>
      <w:r w:rsidR="000B20AF" w:rsidRPr="00CA6ED6">
        <w:rPr>
          <w:rFonts w:ascii="Times New Roman" w:hAnsi="Times New Roman" w:cs="Times New Roman"/>
        </w:rPr>
        <w:t xml:space="preserve"> to admit Counselor</w:t>
      </w:r>
      <w:r w:rsidR="006F643F">
        <w:rPr>
          <w:rFonts w:ascii="Times New Roman" w:hAnsi="Times New Roman" w:cs="Times New Roman"/>
        </w:rPr>
        <w:t>’s</w:t>
      </w:r>
      <w:r w:rsidR="00A52FAA">
        <w:rPr>
          <w:rFonts w:ascii="Times New Roman" w:hAnsi="Times New Roman" w:cs="Times New Roman"/>
        </w:rPr>
        <w:t xml:space="preserve"> and Foster Parent’s favorable</w:t>
      </w:r>
      <w:r w:rsidR="000B20AF" w:rsidRPr="00CA6ED6">
        <w:rPr>
          <w:rFonts w:ascii="Times New Roman" w:hAnsi="Times New Roman" w:cs="Times New Roman"/>
        </w:rPr>
        <w:t xml:space="preserve"> </w:t>
      </w:r>
      <w:r w:rsidR="006F643F">
        <w:rPr>
          <w:rFonts w:ascii="Times New Roman" w:hAnsi="Times New Roman" w:cs="Times New Roman"/>
        </w:rPr>
        <w:t xml:space="preserve">hearsay </w:t>
      </w:r>
      <w:r w:rsidR="000B20AF" w:rsidRPr="00CA6ED6">
        <w:rPr>
          <w:rFonts w:ascii="Times New Roman" w:hAnsi="Times New Roman" w:cs="Times New Roman"/>
        </w:rPr>
        <w:t>statement</w:t>
      </w:r>
      <w:r w:rsidR="006F643F">
        <w:rPr>
          <w:rFonts w:ascii="Times New Roman" w:hAnsi="Times New Roman" w:cs="Times New Roman"/>
        </w:rPr>
        <w:t>s about Mother’s progress as admissions against DCF.</w:t>
      </w:r>
      <w:r w:rsidR="00CA6ED6">
        <w:rPr>
          <w:rFonts w:ascii="Times New Roman" w:hAnsi="Times New Roman" w:cs="Times New Roman"/>
        </w:rPr>
        <w:t xml:space="preserve"> </w:t>
      </w:r>
      <w:r w:rsidR="006F643F">
        <w:rPr>
          <w:rFonts w:ascii="Times New Roman" w:hAnsi="Times New Roman" w:cs="Times New Roman"/>
        </w:rPr>
        <w:t xml:space="preserve"> DCF counsel objected</w:t>
      </w:r>
      <w:r w:rsidR="00CB6BA3">
        <w:rPr>
          <w:rFonts w:ascii="Times New Roman" w:hAnsi="Times New Roman" w:cs="Times New Roman"/>
        </w:rPr>
        <w:t>.  T</w:t>
      </w:r>
      <w:r w:rsidR="006F643F">
        <w:rPr>
          <w:rFonts w:ascii="Times New Roman" w:hAnsi="Times New Roman" w:cs="Times New Roman"/>
        </w:rPr>
        <w:t>he judge asked for memorand</w:t>
      </w:r>
      <w:r w:rsidR="00CB6BA3">
        <w:rPr>
          <w:rFonts w:ascii="Times New Roman" w:hAnsi="Times New Roman" w:cs="Times New Roman"/>
        </w:rPr>
        <w:t>a</w:t>
      </w:r>
      <w:r w:rsidR="006F643F">
        <w:rPr>
          <w:rFonts w:ascii="Times New Roman" w:hAnsi="Times New Roman" w:cs="Times New Roman"/>
        </w:rPr>
        <w:t xml:space="preserve"> on the issue.</w:t>
      </w:r>
    </w:p>
    <w:p w14:paraId="6BA42D3D" w14:textId="77777777" w:rsidR="00FD65A8" w:rsidRPr="00CA6ED6" w:rsidRDefault="00FD65A8" w:rsidP="001F663F">
      <w:pPr>
        <w:spacing w:line="480" w:lineRule="auto"/>
        <w:jc w:val="center"/>
        <w:rPr>
          <w:rFonts w:ascii="Times New Roman" w:hAnsi="Times New Roman" w:cs="Times New Roman"/>
        </w:rPr>
      </w:pPr>
      <w:r w:rsidRPr="006F643F">
        <w:rPr>
          <w:rFonts w:ascii="Times New Roman" w:hAnsi="Times New Roman" w:cs="Times New Roman"/>
          <w:b/>
        </w:rPr>
        <w:t>Analysis</w:t>
      </w:r>
    </w:p>
    <w:p w14:paraId="14686371" w14:textId="7DCE36EB" w:rsidR="006B4447" w:rsidRDefault="00A52FAA" w:rsidP="001F663F">
      <w:pPr>
        <w:spacing w:line="480" w:lineRule="auto"/>
        <w:ind w:firstLine="720"/>
        <w:rPr>
          <w:rFonts w:ascii="Times New Roman" w:hAnsi="Times New Roman" w:cs="Times New Roman"/>
        </w:rPr>
      </w:pPr>
      <w:r>
        <w:rPr>
          <w:rFonts w:ascii="Times New Roman" w:hAnsi="Times New Roman" w:cs="Times New Roman"/>
        </w:rPr>
        <w:t>V</w:t>
      </w:r>
      <w:r w:rsidRPr="00CA6ED6">
        <w:rPr>
          <w:rFonts w:ascii="Times New Roman" w:hAnsi="Times New Roman" w:cs="Times New Roman"/>
        </w:rPr>
        <w:t>icarious admission</w:t>
      </w:r>
      <w:r>
        <w:rPr>
          <w:rFonts w:ascii="Times New Roman" w:hAnsi="Times New Roman" w:cs="Times New Roman"/>
        </w:rPr>
        <w:t>s</w:t>
      </w:r>
      <w:r w:rsidRPr="00CA6ED6">
        <w:rPr>
          <w:rFonts w:ascii="Times New Roman" w:hAnsi="Times New Roman" w:cs="Times New Roman"/>
        </w:rPr>
        <w:t xml:space="preserve"> permit a witness to “testify to the out-of-court statement of an agent of a party.”  </w:t>
      </w:r>
      <w:r w:rsidRPr="00CA6ED6">
        <w:rPr>
          <w:rFonts w:ascii="Times New Roman" w:hAnsi="Times New Roman" w:cs="Times New Roman"/>
          <w:i/>
        </w:rPr>
        <w:t>See</w:t>
      </w:r>
      <w:r w:rsidRPr="00CA6ED6">
        <w:rPr>
          <w:rFonts w:ascii="Times New Roman" w:hAnsi="Times New Roman" w:cs="Times New Roman"/>
        </w:rPr>
        <w:t xml:space="preserve"> </w:t>
      </w:r>
      <w:r w:rsidR="006A630E">
        <w:rPr>
          <w:rFonts w:ascii="Times New Roman" w:hAnsi="Times New Roman" w:cs="Times New Roman"/>
          <w:i/>
        </w:rPr>
        <w:t>Cha</w:t>
      </w:r>
      <w:r w:rsidRPr="006F643F">
        <w:rPr>
          <w:rFonts w:ascii="Times New Roman" w:hAnsi="Times New Roman" w:cs="Times New Roman"/>
          <w:i/>
        </w:rPr>
        <w:t>n v. Chen</w:t>
      </w:r>
      <w:r w:rsidRPr="00CA6ED6">
        <w:rPr>
          <w:rFonts w:ascii="Times New Roman" w:hAnsi="Times New Roman" w:cs="Times New Roman"/>
        </w:rPr>
        <w:t xml:space="preserve">, 70 Mass. App. Ct. 79, 83 (2003). </w:t>
      </w:r>
      <w:r>
        <w:rPr>
          <w:rFonts w:ascii="Times New Roman" w:hAnsi="Times New Roman" w:cs="Times New Roman"/>
        </w:rPr>
        <w:t xml:space="preserve"> </w:t>
      </w:r>
      <w:r w:rsidR="00300391" w:rsidRPr="00CA6ED6">
        <w:rPr>
          <w:rFonts w:ascii="Times New Roman" w:hAnsi="Times New Roman" w:cs="Times New Roman"/>
        </w:rPr>
        <w:t>Vicarious admissions are admissible when “offere</w:t>
      </w:r>
      <w:r w:rsidR="00300391">
        <w:rPr>
          <w:rFonts w:ascii="Times New Roman" w:hAnsi="Times New Roman" w:cs="Times New Roman"/>
        </w:rPr>
        <w:t xml:space="preserve">d against a party and . . . [they are] </w:t>
      </w:r>
      <w:r w:rsidR="00300391" w:rsidRPr="00CA6ED6">
        <w:rPr>
          <w:rFonts w:ascii="Times New Roman" w:hAnsi="Times New Roman" w:cs="Times New Roman"/>
        </w:rPr>
        <w:t xml:space="preserve">made by the party’s agent or employee on a matter within the scope of that relationship and </w:t>
      </w:r>
      <w:r w:rsidR="00300391" w:rsidRPr="006A630E">
        <w:rPr>
          <w:rFonts w:ascii="Times New Roman" w:hAnsi="Times New Roman" w:cs="Times New Roman"/>
        </w:rPr>
        <w:t xml:space="preserve">while it existed.”   </w:t>
      </w:r>
      <w:r w:rsidR="00300391" w:rsidRPr="006A630E">
        <w:rPr>
          <w:rFonts w:ascii="Times New Roman" w:hAnsi="Times New Roman" w:cs="Times New Roman"/>
          <w:smallCaps/>
        </w:rPr>
        <w:t>M</w:t>
      </w:r>
      <w:r w:rsidR="000A3323" w:rsidRPr="006A630E">
        <w:rPr>
          <w:rFonts w:ascii="Times New Roman" w:hAnsi="Times New Roman" w:cs="Times New Roman"/>
          <w:smallCaps/>
        </w:rPr>
        <w:t>ass. Guide</w:t>
      </w:r>
      <w:r w:rsidR="00300391" w:rsidRPr="006A630E">
        <w:rPr>
          <w:rFonts w:ascii="Times New Roman" w:hAnsi="Times New Roman" w:cs="Times New Roman"/>
          <w:smallCaps/>
        </w:rPr>
        <w:t xml:space="preserve"> Evid.</w:t>
      </w:r>
      <w:r w:rsidR="00300391" w:rsidRPr="006A630E">
        <w:rPr>
          <w:rFonts w:ascii="Times New Roman" w:hAnsi="Times New Roman" w:cs="Times New Roman"/>
        </w:rPr>
        <w:t xml:space="preserve"> 801(d)(2)(D) (2015); </w:t>
      </w:r>
      <w:r w:rsidR="00300391" w:rsidRPr="006A630E">
        <w:rPr>
          <w:rFonts w:ascii="Times New Roman" w:hAnsi="Times New Roman" w:cs="Times New Roman"/>
          <w:i/>
        </w:rPr>
        <w:t>see</w:t>
      </w:r>
      <w:r w:rsidR="00300391" w:rsidRPr="006A630E">
        <w:rPr>
          <w:rFonts w:ascii="Times New Roman" w:hAnsi="Times New Roman" w:cs="Times New Roman"/>
        </w:rPr>
        <w:t xml:space="preserve"> </w:t>
      </w:r>
      <w:r w:rsidR="004F27B0" w:rsidRPr="006A630E">
        <w:rPr>
          <w:rFonts w:ascii="Times New Roman" w:hAnsi="Times New Roman" w:cs="Times New Roman"/>
          <w:i/>
        </w:rPr>
        <w:t>Ruszcy</w:t>
      </w:r>
      <w:r w:rsidR="00300391" w:rsidRPr="006A630E">
        <w:rPr>
          <w:rFonts w:ascii="Times New Roman" w:hAnsi="Times New Roman" w:cs="Times New Roman"/>
          <w:i/>
        </w:rPr>
        <w:t>k v. Sec. of Pub. Safety</w:t>
      </w:r>
      <w:r w:rsidR="00300391" w:rsidRPr="006A630E">
        <w:rPr>
          <w:rFonts w:ascii="Times New Roman" w:hAnsi="Times New Roman" w:cs="Times New Roman"/>
        </w:rPr>
        <w:t>, 401 Mass.</w:t>
      </w:r>
      <w:r w:rsidRPr="006A630E">
        <w:rPr>
          <w:rFonts w:ascii="Times New Roman" w:hAnsi="Times New Roman" w:cs="Times New Roman"/>
        </w:rPr>
        <w:t xml:space="preserve"> 418, 420 (1988)</w:t>
      </w:r>
      <w:r w:rsidR="006A630E" w:rsidRPr="006A630E">
        <w:rPr>
          <w:rFonts w:ascii="Times New Roman" w:hAnsi="Times New Roman" w:cs="Times New Roman"/>
        </w:rPr>
        <w:t xml:space="preserve">; </w:t>
      </w:r>
      <w:hyperlink r:id="rId8" w:history="1">
        <w:r w:rsidR="006A630E" w:rsidRPr="006A630E">
          <w:rPr>
            <w:rStyle w:val="ssit"/>
            <w:rFonts w:ascii="Times New Roman" w:hAnsi="Times New Roman" w:cs="Times New Roman"/>
            <w:i/>
          </w:rPr>
          <w:t>Thorell</w:t>
        </w:r>
        <w:r w:rsidR="006A630E" w:rsidRPr="006A630E">
          <w:rPr>
            <w:rStyle w:val="Hyperlink"/>
            <w:rFonts w:ascii="Times New Roman" w:hAnsi="Times New Roman" w:cs="Times New Roman"/>
            <w:i/>
            <w:color w:val="auto"/>
            <w:u w:val="none"/>
          </w:rPr>
          <w:t xml:space="preserve"> v. </w:t>
        </w:r>
        <w:r w:rsidR="006A630E" w:rsidRPr="006A630E">
          <w:rPr>
            <w:rStyle w:val="ssit"/>
            <w:rFonts w:ascii="Times New Roman" w:hAnsi="Times New Roman" w:cs="Times New Roman"/>
            <w:i/>
          </w:rPr>
          <w:t>ADAP, Inc</w:t>
        </w:r>
        <w:r w:rsidR="006A630E" w:rsidRPr="006A630E">
          <w:rPr>
            <w:rStyle w:val="Hyperlink"/>
            <w:rFonts w:ascii="Times New Roman" w:hAnsi="Times New Roman" w:cs="Times New Roman"/>
            <w:i/>
            <w:color w:val="auto"/>
            <w:u w:val="none"/>
          </w:rPr>
          <w:t>.</w:t>
        </w:r>
        <w:r w:rsidR="006A630E" w:rsidRPr="006A630E">
          <w:rPr>
            <w:rStyle w:val="Hyperlink"/>
            <w:rFonts w:ascii="Times New Roman" w:hAnsi="Times New Roman" w:cs="Times New Roman"/>
            <w:color w:val="auto"/>
            <w:u w:val="none"/>
          </w:rPr>
          <w:t>, 58 Mass. App. Ct. 334, 339 (2003)</w:t>
        </w:r>
      </w:hyperlink>
      <w:r w:rsidRPr="006A630E">
        <w:rPr>
          <w:rFonts w:ascii="Times New Roman" w:hAnsi="Times New Roman" w:cs="Times New Roman"/>
        </w:rPr>
        <w:t xml:space="preserve">. </w:t>
      </w:r>
      <w:r w:rsidR="00CA19E5" w:rsidRPr="006A630E">
        <w:rPr>
          <w:rFonts w:ascii="Times New Roman" w:hAnsi="Times New Roman" w:cs="Times New Roman"/>
        </w:rPr>
        <w:t xml:space="preserve"> </w:t>
      </w:r>
      <w:r w:rsidR="006E4DE9" w:rsidRPr="006A630E">
        <w:rPr>
          <w:rFonts w:ascii="Times New Roman" w:hAnsi="Times New Roman" w:cs="Times New Roman"/>
        </w:rPr>
        <w:t xml:space="preserve">The </w:t>
      </w:r>
      <w:r w:rsidR="006E4DE9" w:rsidRPr="00CA6ED6">
        <w:rPr>
          <w:rFonts w:ascii="Times New Roman" w:hAnsi="Times New Roman" w:cs="Times New Roman"/>
        </w:rPr>
        <w:t>trial judge, when determining the admissibility of a vicarious admission, must determine “</w:t>
      </w:r>
      <w:r w:rsidR="006E4DE9" w:rsidRPr="006A630E">
        <w:rPr>
          <w:rFonts w:ascii="Times New Roman" w:hAnsi="Times New Roman" w:cs="Times New Roman"/>
        </w:rPr>
        <w:t xml:space="preserve">whether the declarant was authorized to act on the matters about which he spoke.”  </w:t>
      </w:r>
      <w:r w:rsidR="006E4DE9" w:rsidRPr="006A630E">
        <w:rPr>
          <w:rFonts w:ascii="Times New Roman" w:hAnsi="Times New Roman" w:cs="Times New Roman"/>
          <w:i/>
        </w:rPr>
        <w:t>Chen</w:t>
      </w:r>
      <w:r w:rsidR="006E4DE9" w:rsidRPr="006A630E">
        <w:rPr>
          <w:rFonts w:ascii="Times New Roman" w:hAnsi="Times New Roman" w:cs="Times New Roman"/>
        </w:rPr>
        <w:t>, 70 Mass. App. Ct. at 83.</w:t>
      </w:r>
      <w:r w:rsidR="006B4447" w:rsidRPr="006A630E">
        <w:rPr>
          <w:rFonts w:ascii="Times New Roman" w:hAnsi="Times New Roman" w:cs="Times New Roman"/>
        </w:rPr>
        <w:t xml:space="preserve"> </w:t>
      </w:r>
      <w:r w:rsidR="006E4DE9" w:rsidRPr="006A630E">
        <w:rPr>
          <w:rFonts w:ascii="Times New Roman" w:hAnsi="Times New Roman" w:cs="Times New Roman"/>
        </w:rPr>
        <w:t xml:space="preserve"> The judge must then decide “whether the probative value of the statement substantially outweighs its potential for unfair prejudice.”  </w:t>
      </w:r>
      <w:r w:rsidR="00FD49E7" w:rsidRPr="006A630E">
        <w:rPr>
          <w:rFonts w:ascii="Times New Roman" w:hAnsi="Times New Roman" w:cs="Times New Roman"/>
          <w:i/>
        </w:rPr>
        <w:t>I</w:t>
      </w:r>
      <w:r w:rsidR="006E4DE9" w:rsidRPr="006A630E">
        <w:rPr>
          <w:rFonts w:ascii="Times New Roman" w:hAnsi="Times New Roman" w:cs="Times New Roman"/>
          <w:i/>
        </w:rPr>
        <w:t>d.</w:t>
      </w:r>
      <w:r w:rsidR="00C00D4B" w:rsidRPr="006A630E">
        <w:rPr>
          <w:rFonts w:ascii="Times New Roman" w:hAnsi="Times New Roman" w:cs="Times New Roman"/>
        </w:rPr>
        <w:t xml:space="preserve">; </w:t>
      </w:r>
      <w:r w:rsidR="004F27B0" w:rsidRPr="006A630E">
        <w:rPr>
          <w:rFonts w:ascii="Times New Roman" w:hAnsi="Times New Roman" w:cs="Times New Roman"/>
          <w:i/>
        </w:rPr>
        <w:t>Ruszcy</w:t>
      </w:r>
      <w:r w:rsidR="00C00D4B" w:rsidRPr="006A630E">
        <w:rPr>
          <w:rFonts w:ascii="Times New Roman" w:hAnsi="Times New Roman" w:cs="Times New Roman"/>
          <w:i/>
        </w:rPr>
        <w:t>k</w:t>
      </w:r>
      <w:r w:rsidR="00C00D4B" w:rsidRPr="006A630E">
        <w:rPr>
          <w:rFonts w:ascii="Times New Roman" w:hAnsi="Times New Roman" w:cs="Times New Roman"/>
        </w:rPr>
        <w:t>, 401 Mass. at 422-23</w:t>
      </w:r>
      <w:r w:rsidR="00FD49E7" w:rsidRPr="006A630E">
        <w:rPr>
          <w:rFonts w:ascii="Times New Roman" w:hAnsi="Times New Roman" w:cs="Times New Roman"/>
        </w:rPr>
        <w:t>.</w:t>
      </w:r>
      <w:r w:rsidR="006E4DE9" w:rsidRPr="006A630E">
        <w:rPr>
          <w:rFonts w:ascii="Times New Roman" w:hAnsi="Times New Roman" w:cs="Times New Roman"/>
        </w:rPr>
        <w:t xml:space="preserve">  The judge should also consider </w:t>
      </w:r>
      <w:r w:rsidR="006A630E" w:rsidRPr="006A630E">
        <w:rPr>
          <w:rStyle w:val="ssleftalign"/>
          <w:rFonts w:ascii="Times New Roman" w:hAnsi="Times New Roman" w:cs="Times New Roman"/>
        </w:rPr>
        <w:t xml:space="preserve">“the credibility of the witness; the proponent’s need for the evidence, e.g., whether the declarant is available to testify; and the reliability of the evidence offered, including consideration of whether the statement was made on firsthand knowledge and of any other circumstances bearing on the credibility of the declarant.” </w:t>
      </w:r>
      <w:r w:rsidR="006A630E">
        <w:rPr>
          <w:rStyle w:val="ssleftalign"/>
          <w:rFonts w:ascii="Times New Roman" w:hAnsi="Times New Roman" w:cs="Times New Roman"/>
        </w:rPr>
        <w:t xml:space="preserve"> </w:t>
      </w:r>
      <w:r w:rsidR="006A630E" w:rsidRPr="006A630E">
        <w:rPr>
          <w:rStyle w:val="ssleftalign"/>
          <w:rFonts w:ascii="Times New Roman" w:hAnsi="Times New Roman" w:cs="Times New Roman"/>
          <w:i/>
        </w:rPr>
        <w:t>Chan</w:t>
      </w:r>
      <w:r w:rsidR="006A630E" w:rsidRPr="006A630E">
        <w:rPr>
          <w:rStyle w:val="ssleftalign"/>
          <w:rFonts w:ascii="Times New Roman" w:hAnsi="Times New Roman" w:cs="Times New Roman"/>
        </w:rPr>
        <w:t xml:space="preserve">, </w:t>
      </w:r>
      <w:r w:rsidR="00FD49E7" w:rsidRPr="006A630E">
        <w:rPr>
          <w:rFonts w:ascii="Times New Roman" w:hAnsi="Times New Roman" w:cs="Times New Roman"/>
        </w:rPr>
        <w:t>70 Mass. App. Ct. at 83</w:t>
      </w:r>
      <w:r w:rsidR="006A630E" w:rsidRPr="006A630E">
        <w:rPr>
          <w:rFonts w:ascii="Times New Roman" w:hAnsi="Times New Roman" w:cs="Times New Roman"/>
        </w:rPr>
        <w:t xml:space="preserve"> (citations omitted)</w:t>
      </w:r>
      <w:r w:rsidR="00FD49E7" w:rsidRPr="006A630E">
        <w:rPr>
          <w:rFonts w:ascii="Times New Roman" w:hAnsi="Times New Roman" w:cs="Times New Roman"/>
        </w:rPr>
        <w:t>.</w:t>
      </w:r>
    </w:p>
    <w:p w14:paraId="3E8FB8C2" w14:textId="77777777" w:rsidR="006A630E" w:rsidRPr="006A630E" w:rsidRDefault="006A630E" w:rsidP="001F663F">
      <w:pPr>
        <w:spacing w:line="480" w:lineRule="auto"/>
        <w:ind w:firstLine="720"/>
        <w:rPr>
          <w:rFonts w:ascii="Times New Roman" w:hAnsi="Times New Roman" w:cs="Times New Roman"/>
        </w:rPr>
      </w:pPr>
    </w:p>
    <w:p w14:paraId="6C0CC02D" w14:textId="13F2C8F5" w:rsidR="0053028C" w:rsidRPr="00CA6ED6" w:rsidRDefault="00A52FAA" w:rsidP="001F663F">
      <w:pPr>
        <w:spacing w:line="480" w:lineRule="auto"/>
        <w:jc w:val="center"/>
        <w:rPr>
          <w:rFonts w:ascii="Times New Roman" w:hAnsi="Times New Roman" w:cs="Times New Roman"/>
        </w:rPr>
      </w:pPr>
      <w:r>
        <w:rPr>
          <w:rFonts w:ascii="Times New Roman" w:hAnsi="Times New Roman" w:cs="Times New Roman"/>
          <w:u w:val="single"/>
        </w:rPr>
        <w:lastRenderedPageBreak/>
        <w:t xml:space="preserve">DCF Domestic Violence </w:t>
      </w:r>
      <w:r w:rsidR="0053028C" w:rsidRPr="00CA6ED6">
        <w:rPr>
          <w:rFonts w:ascii="Times New Roman" w:hAnsi="Times New Roman" w:cs="Times New Roman"/>
          <w:u w:val="single"/>
        </w:rPr>
        <w:t>Counselor</w:t>
      </w:r>
    </w:p>
    <w:p w14:paraId="4CC05E3D" w14:textId="2F37738D" w:rsidR="00FD49E7" w:rsidRPr="004F27B0" w:rsidRDefault="0053028C" w:rsidP="001F663F">
      <w:pPr>
        <w:spacing w:line="480" w:lineRule="auto"/>
        <w:rPr>
          <w:rFonts w:ascii="Times New Roman" w:hAnsi="Times New Roman" w:cs="Times New Roman"/>
        </w:rPr>
      </w:pPr>
      <w:r w:rsidRPr="00CA6ED6">
        <w:rPr>
          <w:rFonts w:ascii="Times New Roman" w:hAnsi="Times New Roman" w:cs="Times New Roman"/>
        </w:rPr>
        <w:tab/>
        <w:t xml:space="preserve">A </w:t>
      </w:r>
      <w:r w:rsidR="00FD49E7">
        <w:rPr>
          <w:rFonts w:ascii="Times New Roman" w:hAnsi="Times New Roman" w:cs="Times New Roman"/>
        </w:rPr>
        <w:t xml:space="preserve">hearsay </w:t>
      </w:r>
      <w:r w:rsidRPr="00CA6ED6">
        <w:rPr>
          <w:rFonts w:ascii="Times New Roman" w:hAnsi="Times New Roman" w:cs="Times New Roman"/>
        </w:rPr>
        <w:t xml:space="preserve">statement is </w:t>
      </w:r>
      <w:r w:rsidR="00FD49E7">
        <w:rPr>
          <w:rFonts w:ascii="Times New Roman" w:hAnsi="Times New Roman" w:cs="Times New Roman"/>
        </w:rPr>
        <w:t>admissible</w:t>
      </w:r>
      <w:r w:rsidRPr="00CA6ED6">
        <w:rPr>
          <w:rFonts w:ascii="Times New Roman" w:hAnsi="Times New Roman" w:cs="Times New Roman"/>
        </w:rPr>
        <w:t xml:space="preserve"> if it is made by a party’s “agent or </w:t>
      </w:r>
      <w:r w:rsidRPr="00CA19E5">
        <w:rPr>
          <w:rFonts w:ascii="Times New Roman" w:hAnsi="Times New Roman" w:cs="Times New Roman"/>
          <w:i/>
        </w:rPr>
        <w:t>employee</w:t>
      </w:r>
      <w:r w:rsidRPr="00CA6ED6">
        <w:rPr>
          <w:rFonts w:ascii="Times New Roman" w:hAnsi="Times New Roman" w:cs="Times New Roman"/>
        </w:rPr>
        <w:t>” regarding “a matter within the scope</w:t>
      </w:r>
      <w:r w:rsidR="00C658C3" w:rsidRPr="00CA6ED6">
        <w:rPr>
          <w:rFonts w:ascii="Times New Roman" w:hAnsi="Times New Roman" w:cs="Times New Roman"/>
        </w:rPr>
        <w:t xml:space="preserve"> of that relationship [ ] while it existed.”  </w:t>
      </w:r>
      <w:r w:rsidR="00C658C3" w:rsidRPr="00CA6ED6">
        <w:rPr>
          <w:rFonts w:ascii="Times New Roman" w:hAnsi="Times New Roman" w:cs="Times New Roman"/>
          <w:smallCaps/>
        </w:rPr>
        <w:t>M</w:t>
      </w:r>
      <w:r w:rsidR="000A3323">
        <w:rPr>
          <w:rFonts w:ascii="Times New Roman" w:hAnsi="Times New Roman" w:cs="Times New Roman"/>
          <w:smallCaps/>
        </w:rPr>
        <w:t>ass. Guide</w:t>
      </w:r>
      <w:r w:rsidR="00C658C3" w:rsidRPr="00CA6ED6">
        <w:rPr>
          <w:rFonts w:ascii="Times New Roman" w:hAnsi="Times New Roman" w:cs="Times New Roman"/>
          <w:smallCaps/>
        </w:rPr>
        <w:t xml:space="preserve"> Evid.</w:t>
      </w:r>
      <w:r w:rsidR="00C658C3" w:rsidRPr="00CA6ED6">
        <w:rPr>
          <w:rFonts w:ascii="Times New Roman" w:hAnsi="Times New Roman" w:cs="Times New Roman"/>
        </w:rPr>
        <w:t xml:space="preserve"> </w:t>
      </w:r>
      <w:r w:rsidR="00C6337A">
        <w:rPr>
          <w:rFonts w:ascii="Times New Roman" w:hAnsi="Times New Roman" w:cs="Times New Roman"/>
        </w:rPr>
        <w:t xml:space="preserve">§ </w:t>
      </w:r>
      <w:r w:rsidR="00C658C3" w:rsidRPr="00CA6ED6">
        <w:rPr>
          <w:rFonts w:ascii="Times New Roman" w:hAnsi="Times New Roman" w:cs="Times New Roman"/>
        </w:rPr>
        <w:t>801(d)(2)(D) (2015)</w:t>
      </w:r>
      <w:r w:rsidR="00CA19E5">
        <w:rPr>
          <w:rFonts w:ascii="Times New Roman" w:hAnsi="Times New Roman" w:cs="Times New Roman"/>
        </w:rPr>
        <w:t xml:space="preserve"> (emphasis added)</w:t>
      </w:r>
      <w:r w:rsidR="00A4533D" w:rsidRPr="00CA6ED6">
        <w:rPr>
          <w:rFonts w:ascii="Times New Roman" w:hAnsi="Times New Roman" w:cs="Times New Roman"/>
        </w:rPr>
        <w:t xml:space="preserve">.  </w:t>
      </w:r>
      <w:r w:rsidR="006C4C57" w:rsidRPr="00CA6ED6">
        <w:rPr>
          <w:rFonts w:ascii="Times New Roman" w:hAnsi="Times New Roman" w:cs="Times New Roman"/>
        </w:rPr>
        <w:t xml:space="preserve">In </w:t>
      </w:r>
      <w:r w:rsidR="004F27B0">
        <w:rPr>
          <w:rFonts w:ascii="Times New Roman" w:hAnsi="Times New Roman" w:cs="Times New Roman"/>
          <w:i/>
        </w:rPr>
        <w:t>Ruszcy</w:t>
      </w:r>
      <w:r w:rsidR="006C4C57" w:rsidRPr="00CA6ED6">
        <w:rPr>
          <w:rFonts w:ascii="Times New Roman" w:hAnsi="Times New Roman" w:cs="Times New Roman"/>
          <w:i/>
        </w:rPr>
        <w:t>k</w:t>
      </w:r>
      <w:r w:rsidR="006C4C57" w:rsidRPr="00CA6ED6">
        <w:rPr>
          <w:rFonts w:ascii="Times New Roman" w:hAnsi="Times New Roman" w:cs="Times New Roman"/>
        </w:rPr>
        <w:t xml:space="preserve">, </w:t>
      </w:r>
      <w:r w:rsidR="004F27B0">
        <w:rPr>
          <w:rFonts w:ascii="Times New Roman" w:hAnsi="Times New Roman" w:cs="Times New Roman"/>
        </w:rPr>
        <w:t xml:space="preserve">the commandant of the police academy where Ruszcyk was injured told the chairman of the board of selectman and the police chief that the injuries were caused by a trooper kicking the door in on Ruszcyk.  </w:t>
      </w:r>
      <w:r w:rsidR="004F27B0">
        <w:rPr>
          <w:rFonts w:ascii="Times New Roman" w:hAnsi="Times New Roman" w:cs="Times New Roman"/>
          <w:i/>
        </w:rPr>
        <w:t xml:space="preserve">See </w:t>
      </w:r>
      <w:r w:rsidR="00A52FAA">
        <w:rPr>
          <w:rFonts w:ascii="Times New Roman" w:hAnsi="Times New Roman" w:cs="Times New Roman"/>
        </w:rPr>
        <w:t>401 Mass. a</w:t>
      </w:r>
      <w:r w:rsidR="004F27B0">
        <w:rPr>
          <w:rFonts w:ascii="Times New Roman" w:hAnsi="Times New Roman" w:cs="Times New Roman"/>
        </w:rPr>
        <w:t xml:space="preserve">t 419-20.  </w:t>
      </w:r>
      <w:r w:rsidR="00A52FAA">
        <w:rPr>
          <w:rFonts w:ascii="Times New Roman" w:hAnsi="Times New Roman" w:cs="Times New Roman"/>
        </w:rPr>
        <w:t>Ruszcyk sough</w:t>
      </w:r>
      <w:r w:rsidR="00C6337A">
        <w:rPr>
          <w:rFonts w:ascii="Times New Roman" w:hAnsi="Times New Roman" w:cs="Times New Roman"/>
        </w:rPr>
        <w:t>t</w:t>
      </w:r>
      <w:r w:rsidR="00A52FAA">
        <w:rPr>
          <w:rFonts w:ascii="Times New Roman" w:hAnsi="Times New Roman" w:cs="Times New Roman"/>
        </w:rPr>
        <w:t xml:space="preserve"> to admit the comm</w:t>
      </w:r>
      <w:r w:rsidR="007D1345">
        <w:rPr>
          <w:rFonts w:ascii="Times New Roman" w:hAnsi="Times New Roman" w:cs="Times New Roman"/>
        </w:rPr>
        <w:t>andant’s statement as an</w:t>
      </w:r>
      <w:r w:rsidR="00A52FAA">
        <w:rPr>
          <w:rFonts w:ascii="Times New Roman" w:hAnsi="Times New Roman" w:cs="Times New Roman"/>
        </w:rPr>
        <w:t xml:space="preserve"> agent of the police academy, but the trial judge excluded the testimony as inadmissible hearsay.  </w:t>
      </w:r>
      <w:r w:rsidR="00A52FAA">
        <w:rPr>
          <w:rFonts w:ascii="Times New Roman" w:hAnsi="Times New Roman" w:cs="Times New Roman"/>
          <w:i/>
        </w:rPr>
        <w:t>Id.</w:t>
      </w:r>
      <w:r w:rsidR="00A52FAA">
        <w:rPr>
          <w:rFonts w:ascii="Times New Roman" w:hAnsi="Times New Roman" w:cs="Times New Roman"/>
        </w:rPr>
        <w:t xml:space="preserve"> at 420.  </w:t>
      </w:r>
      <w:r w:rsidR="004F27B0">
        <w:rPr>
          <w:rFonts w:ascii="Times New Roman" w:hAnsi="Times New Roman" w:cs="Times New Roman"/>
        </w:rPr>
        <w:t>T</w:t>
      </w:r>
      <w:r w:rsidR="006C4C57" w:rsidRPr="00CA6ED6">
        <w:rPr>
          <w:rFonts w:ascii="Times New Roman" w:hAnsi="Times New Roman" w:cs="Times New Roman"/>
        </w:rPr>
        <w:t xml:space="preserve">he Massachusetts Supreme Judicial Court found that </w:t>
      </w:r>
      <w:r w:rsidR="004F27B0">
        <w:rPr>
          <w:rFonts w:ascii="Times New Roman" w:hAnsi="Times New Roman" w:cs="Times New Roman"/>
        </w:rPr>
        <w:t xml:space="preserve">the commandant’s statement regarding the cause of the injury </w:t>
      </w:r>
      <w:r w:rsidR="00C00D4B" w:rsidRPr="00CA6ED6">
        <w:rPr>
          <w:rFonts w:ascii="Times New Roman" w:hAnsi="Times New Roman" w:cs="Times New Roman"/>
        </w:rPr>
        <w:t>was within the scope of his employment because his duties involve receiving reports of investigations of incident</w:t>
      </w:r>
      <w:r w:rsidR="006E176A" w:rsidRPr="00CA6ED6">
        <w:rPr>
          <w:rFonts w:ascii="Times New Roman" w:hAnsi="Times New Roman" w:cs="Times New Roman"/>
        </w:rPr>
        <w:t>s</w:t>
      </w:r>
      <w:r w:rsidR="004F27B0">
        <w:rPr>
          <w:rFonts w:ascii="Times New Roman" w:hAnsi="Times New Roman" w:cs="Times New Roman"/>
        </w:rPr>
        <w:t xml:space="preserve">.  </w:t>
      </w:r>
      <w:r w:rsidR="004F27B0">
        <w:rPr>
          <w:rFonts w:ascii="Times New Roman" w:hAnsi="Times New Roman" w:cs="Times New Roman"/>
          <w:i/>
        </w:rPr>
        <w:t>See id.</w:t>
      </w:r>
      <w:r w:rsidR="00FD49E7">
        <w:rPr>
          <w:rFonts w:ascii="Times New Roman" w:hAnsi="Times New Roman" w:cs="Times New Roman"/>
        </w:rPr>
        <w:t xml:space="preserve"> at 424.</w:t>
      </w:r>
      <w:r w:rsidR="004F27B0">
        <w:rPr>
          <w:rFonts w:ascii="Times New Roman" w:hAnsi="Times New Roman" w:cs="Times New Roman"/>
        </w:rPr>
        <w:t xml:space="preserve">  Thus, </w:t>
      </w:r>
      <w:r w:rsidR="00A52FAA">
        <w:rPr>
          <w:rFonts w:ascii="Times New Roman" w:hAnsi="Times New Roman" w:cs="Times New Roman"/>
        </w:rPr>
        <w:t>other police department employees</w:t>
      </w:r>
      <w:r w:rsidR="004F27B0">
        <w:rPr>
          <w:rFonts w:ascii="Times New Roman" w:hAnsi="Times New Roman" w:cs="Times New Roman"/>
        </w:rPr>
        <w:t xml:space="preserve"> could testify to the commandant’s statement to them, </w:t>
      </w:r>
      <w:r w:rsidR="00EC0CB1">
        <w:rPr>
          <w:rFonts w:ascii="Times New Roman" w:hAnsi="Times New Roman" w:cs="Times New Roman"/>
        </w:rPr>
        <w:t>and such</w:t>
      </w:r>
      <w:r w:rsidR="00A52FAA">
        <w:rPr>
          <w:rFonts w:ascii="Times New Roman" w:hAnsi="Times New Roman" w:cs="Times New Roman"/>
        </w:rPr>
        <w:t xml:space="preserve"> statements were </w:t>
      </w:r>
      <w:r w:rsidR="00EC0CB1">
        <w:rPr>
          <w:rFonts w:ascii="Times New Roman" w:hAnsi="Times New Roman" w:cs="Times New Roman"/>
        </w:rPr>
        <w:t xml:space="preserve">admissible against the police department as vicarious admissions </w:t>
      </w:r>
      <w:r w:rsidR="004F27B0">
        <w:rPr>
          <w:rFonts w:ascii="Times New Roman" w:hAnsi="Times New Roman" w:cs="Times New Roman"/>
        </w:rPr>
        <w:t xml:space="preserve">so long as the potential for unfair prejudice toward the defendant did not substantially outweigh the probative value of the evidence. </w:t>
      </w:r>
      <w:r w:rsidR="00C6337A">
        <w:rPr>
          <w:rFonts w:ascii="Times New Roman" w:hAnsi="Times New Roman" w:cs="Times New Roman"/>
        </w:rPr>
        <w:t xml:space="preserve"> </w:t>
      </w:r>
      <w:r w:rsidR="004F27B0">
        <w:rPr>
          <w:rFonts w:ascii="Times New Roman" w:hAnsi="Times New Roman" w:cs="Times New Roman"/>
          <w:i/>
        </w:rPr>
        <w:t>See id.</w:t>
      </w:r>
    </w:p>
    <w:p w14:paraId="4035746F" w14:textId="0B71FE5A" w:rsidR="0053028C" w:rsidRPr="00CA6ED6" w:rsidRDefault="00FD49E7" w:rsidP="001F663F">
      <w:pPr>
        <w:spacing w:line="480" w:lineRule="auto"/>
        <w:rPr>
          <w:rFonts w:ascii="Times New Roman" w:hAnsi="Times New Roman" w:cs="Times New Roman"/>
        </w:rPr>
      </w:pPr>
      <w:r>
        <w:rPr>
          <w:rFonts w:ascii="Times New Roman" w:hAnsi="Times New Roman" w:cs="Times New Roman"/>
        </w:rPr>
        <w:tab/>
      </w:r>
      <w:r w:rsidR="00C00D4B" w:rsidRPr="00CA6ED6">
        <w:rPr>
          <w:rFonts w:ascii="Times New Roman" w:hAnsi="Times New Roman" w:cs="Times New Roman"/>
        </w:rPr>
        <w:t xml:space="preserve">Here, </w:t>
      </w:r>
      <w:r w:rsidR="00EC0CB1">
        <w:rPr>
          <w:rFonts w:ascii="Times New Roman" w:hAnsi="Times New Roman" w:cs="Times New Roman"/>
        </w:rPr>
        <w:t>Counselor</w:t>
      </w:r>
      <w:r>
        <w:rPr>
          <w:rFonts w:ascii="Times New Roman" w:hAnsi="Times New Roman" w:cs="Times New Roman"/>
        </w:rPr>
        <w:t xml:space="preserve"> </w:t>
      </w:r>
      <w:r w:rsidR="00C6337A">
        <w:rPr>
          <w:rFonts w:ascii="Times New Roman" w:hAnsi="Times New Roman" w:cs="Times New Roman"/>
        </w:rPr>
        <w:t>is an employee of</w:t>
      </w:r>
      <w:r>
        <w:rPr>
          <w:rFonts w:ascii="Times New Roman" w:hAnsi="Times New Roman" w:cs="Times New Roman"/>
        </w:rPr>
        <w:t xml:space="preserve"> DCF.  </w:t>
      </w:r>
      <w:r w:rsidR="00C00D4B" w:rsidRPr="00CA6ED6">
        <w:rPr>
          <w:rFonts w:ascii="Times New Roman" w:hAnsi="Times New Roman" w:cs="Times New Roman"/>
        </w:rPr>
        <w:t>Counselo</w:t>
      </w:r>
      <w:r w:rsidR="006E176A" w:rsidRPr="00CA6ED6">
        <w:rPr>
          <w:rFonts w:ascii="Times New Roman" w:hAnsi="Times New Roman" w:cs="Times New Roman"/>
        </w:rPr>
        <w:t>r’s scope of employment includes</w:t>
      </w:r>
      <w:r w:rsidR="00767C8F" w:rsidRPr="00CA6ED6">
        <w:rPr>
          <w:rFonts w:ascii="Times New Roman" w:hAnsi="Times New Roman" w:cs="Times New Roman"/>
        </w:rPr>
        <w:t xml:space="preserve"> </w:t>
      </w:r>
      <w:r w:rsidR="00CA19E5">
        <w:rPr>
          <w:rFonts w:ascii="Times New Roman" w:hAnsi="Times New Roman" w:cs="Times New Roman"/>
        </w:rPr>
        <w:t xml:space="preserve">meeting with mother, formally or informally evaluating Mother’s progress, and </w:t>
      </w:r>
      <w:r w:rsidR="00767C8F" w:rsidRPr="00CA6ED6">
        <w:rPr>
          <w:rFonts w:ascii="Times New Roman" w:hAnsi="Times New Roman" w:cs="Times New Roman"/>
        </w:rPr>
        <w:t>discussing Mother</w:t>
      </w:r>
      <w:r w:rsidR="00C6337A">
        <w:rPr>
          <w:rFonts w:ascii="Times New Roman" w:hAnsi="Times New Roman" w:cs="Times New Roman"/>
        </w:rPr>
        <w:t>’s progress</w:t>
      </w:r>
      <w:r w:rsidR="00767C8F" w:rsidRPr="00CA6ED6">
        <w:rPr>
          <w:rFonts w:ascii="Times New Roman" w:hAnsi="Times New Roman" w:cs="Times New Roman"/>
        </w:rPr>
        <w:t xml:space="preserve"> </w:t>
      </w:r>
      <w:r>
        <w:rPr>
          <w:rFonts w:ascii="Times New Roman" w:hAnsi="Times New Roman" w:cs="Times New Roman"/>
        </w:rPr>
        <w:t xml:space="preserve">with Social Worker.  </w:t>
      </w:r>
      <w:r w:rsidR="00767C8F" w:rsidRPr="00CA6ED6">
        <w:rPr>
          <w:rFonts w:ascii="Times New Roman" w:hAnsi="Times New Roman" w:cs="Times New Roman"/>
        </w:rPr>
        <w:t xml:space="preserve">Counselor’s statements would </w:t>
      </w:r>
      <w:r w:rsidR="00CA19E5">
        <w:rPr>
          <w:rFonts w:ascii="Times New Roman" w:hAnsi="Times New Roman" w:cs="Times New Roman"/>
        </w:rPr>
        <w:t xml:space="preserve">not </w:t>
      </w:r>
      <w:r w:rsidR="00767C8F" w:rsidRPr="00CA6ED6">
        <w:rPr>
          <w:rFonts w:ascii="Times New Roman" w:hAnsi="Times New Roman" w:cs="Times New Roman"/>
        </w:rPr>
        <w:t>have a substantial prejudicia</w:t>
      </w:r>
      <w:r>
        <w:rPr>
          <w:rFonts w:ascii="Times New Roman" w:hAnsi="Times New Roman" w:cs="Times New Roman"/>
        </w:rPr>
        <w:t>l effect on DCF</w:t>
      </w:r>
      <w:r w:rsidR="00C6337A">
        <w:rPr>
          <w:rFonts w:ascii="Times New Roman" w:hAnsi="Times New Roman" w:cs="Times New Roman"/>
        </w:rPr>
        <w:t xml:space="preserve"> that outweighs</w:t>
      </w:r>
      <w:r w:rsidR="00EC0CB1">
        <w:rPr>
          <w:rFonts w:ascii="Times New Roman" w:hAnsi="Times New Roman" w:cs="Times New Roman"/>
        </w:rPr>
        <w:t xml:space="preserve"> its probative value</w:t>
      </w:r>
      <w:r w:rsidR="00CA19E5">
        <w:rPr>
          <w:rFonts w:ascii="Times New Roman" w:hAnsi="Times New Roman" w:cs="Times New Roman"/>
        </w:rPr>
        <w:t xml:space="preserve"> in the case</w:t>
      </w:r>
      <w:r w:rsidR="00EC0CB1">
        <w:rPr>
          <w:rFonts w:ascii="Times New Roman" w:hAnsi="Times New Roman" w:cs="Times New Roman"/>
        </w:rPr>
        <w:t xml:space="preserve">. </w:t>
      </w:r>
      <w:r w:rsidR="00CA19E5">
        <w:rPr>
          <w:rFonts w:ascii="Times New Roman" w:hAnsi="Times New Roman" w:cs="Times New Roman"/>
        </w:rPr>
        <w:t xml:space="preserve"> </w:t>
      </w:r>
      <w:r>
        <w:rPr>
          <w:rFonts w:ascii="Times New Roman" w:hAnsi="Times New Roman" w:cs="Times New Roman"/>
        </w:rPr>
        <w:t xml:space="preserve">Accordingly, </w:t>
      </w:r>
      <w:r w:rsidR="00EC0CB1">
        <w:rPr>
          <w:rFonts w:ascii="Times New Roman" w:hAnsi="Times New Roman" w:cs="Times New Roman"/>
        </w:rPr>
        <w:t xml:space="preserve">under </w:t>
      </w:r>
      <w:r w:rsidR="00EC0CB1" w:rsidRPr="00CA6ED6">
        <w:rPr>
          <w:rFonts w:ascii="Times New Roman" w:hAnsi="Times New Roman" w:cs="Times New Roman"/>
          <w:smallCaps/>
        </w:rPr>
        <w:t>M</w:t>
      </w:r>
      <w:r w:rsidR="00EC0CB1">
        <w:rPr>
          <w:rFonts w:ascii="Times New Roman" w:hAnsi="Times New Roman" w:cs="Times New Roman"/>
          <w:smallCaps/>
        </w:rPr>
        <w:t>ass. Guide</w:t>
      </w:r>
      <w:r w:rsidR="00EC0CB1" w:rsidRPr="00CA6ED6">
        <w:rPr>
          <w:rFonts w:ascii="Times New Roman" w:hAnsi="Times New Roman" w:cs="Times New Roman"/>
          <w:smallCaps/>
        </w:rPr>
        <w:t xml:space="preserve"> Evid.</w:t>
      </w:r>
      <w:r w:rsidR="00EC0CB1" w:rsidRPr="00CA6ED6">
        <w:rPr>
          <w:rFonts w:ascii="Times New Roman" w:hAnsi="Times New Roman" w:cs="Times New Roman"/>
        </w:rPr>
        <w:t xml:space="preserve"> </w:t>
      </w:r>
      <w:r w:rsidR="00C6337A">
        <w:rPr>
          <w:rFonts w:ascii="Times New Roman" w:hAnsi="Times New Roman" w:cs="Times New Roman"/>
        </w:rPr>
        <w:t xml:space="preserve">§ </w:t>
      </w:r>
      <w:r w:rsidR="00EC0CB1" w:rsidRPr="00CA6ED6">
        <w:rPr>
          <w:rFonts w:ascii="Times New Roman" w:hAnsi="Times New Roman" w:cs="Times New Roman"/>
        </w:rPr>
        <w:t>801(d)(2)(D)</w:t>
      </w:r>
      <w:r w:rsidR="007D1345">
        <w:rPr>
          <w:rFonts w:ascii="Times New Roman" w:hAnsi="Times New Roman" w:cs="Times New Roman"/>
        </w:rPr>
        <w:t xml:space="preserve"> and </w:t>
      </w:r>
      <w:r w:rsidR="007D1345">
        <w:rPr>
          <w:rFonts w:ascii="Times New Roman" w:hAnsi="Times New Roman" w:cs="Times New Roman"/>
          <w:i/>
        </w:rPr>
        <w:t>Ruszcyk</w:t>
      </w:r>
      <w:r w:rsidR="00EC0CB1">
        <w:rPr>
          <w:rFonts w:ascii="Times New Roman" w:hAnsi="Times New Roman" w:cs="Times New Roman"/>
        </w:rPr>
        <w:t xml:space="preserve">, </w:t>
      </w:r>
      <w:r w:rsidR="00767C8F" w:rsidRPr="00CA6ED6">
        <w:rPr>
          <w:rFonts w:ascii="Times New Roman" w:hAnsi="Times New Roman" w:cs="Times New Roman"/>
        </w:rPr>
        <w:t xml:space="preserve">Counselor’s statements are admissible </w:t>
      </w:r>
      <w:r w:rsidR="007D1345">
        <w:rPr>
          <w:rFonts w:ascii="Times New Roman" w:hAnsi="Times New Roman" w:cs="Times New Roman"/>
        </w:rPr>
        <w:t xml:space="preserve">against DCF </w:t>
      </w:r>
      <w:r w:rsidR="00767C8F" w:rsidRPr="00CA6ED6">
        <w:rPr>
          <w:rFonts w:ascii="Times New Roman" w:hAnsi="Times New Roman" w:cs="Times New Roman"/>
        </w:rPr>
        <w:t>as vicarious admissions</w:t>
      </w:r>
      <w:r w:rsidR="007D1345">
        <w:rPr>
          <w:rFonts w:ascii="Times New Roman" w:hAnsi="Times New Roman" w:cs="Times New Roman"/>
        </w:rPr>
        <w:t xml:space="preserve"> when offered</w:t>
      </w:r>
      <w:r w:rsidR="00EC0CB1">
        <w:rPr>
          <w:rFonts w:ascii="Times New Roman" w:hAnsi="Times New Roman" w:cs="Times New Roman"/>
        </w:rPr>
        <w:t xml:space="preserve"> </w:t>
      </w:r>
      <w:r w:rsidR="00C6337A">
        <w:rPr>
          <w:rFonts w:ascii="Times New Roman" w:hAnsi="Times New Roman" w:cs="Times New Roman"/>
        </w:rPr>
        <w:t xml:space="preserve">against DCF </w:t>
      </w:r>
      <w:r w:rsidR="00EC0CB1">
        <w:rPr>
          <w:rFonts w:ascii="Times New Roman" w:hAnsi="Times New Roman" w:cs="Times New Roman"/>
        </w:rPr>
        <w:t>by Mother</w:t>
      </w:r>
      <w:r w:rsidR="00767C8F" w:rsidRPr="00CA6ED6">
        <w:rPr>
          <w:rFonts w:ascii="Times New Roman" w:hAnsi="Times New Roman" w:cs="Times New Roman"/>
        </w:rPr>
        <w:t>.</w:t>
      </w:r>
      <w:r w:rsidR="00EC0CB1">
        <w:rPr>
          <w:rFonts w:ascii="Times New Roman" w:hAnsi="Times New Roman" w:cs="Times New Roman"/>
        </w:rPr>
        <w:t xml:space="preserve">  </w:t>
      </w:r>
    </w:p>
    <w:p w14:paraId="43542B57" w14:textId="4918ED8A" w:rsidR="0053028C" w:rsidRPr="00CA6ED6" w:rsidRDefault="0053028C" w:rsidP="001F663F">
      <w:pPr>
        <w:spacing w:line="480" w:lineRule="auto"/>
        <w:jc w:val="center"/>
        <w:rPr>
          <w:rFonts w:ascii="Times New Roman" w:hAnsi="Times New Roman" w:cs="Times New Roman"/>
          <w:u w:val="single"/>
        </w:rPr>
      </w:pPr>
      <w:r w:rsidRPr="00CA6ED6">
        <w:rPr>
          <w:rFonts w:ascii="Times New Roman" w:hAnsi="Times New Roman" w:cs="Times New Roman"/>
          <w:u w:val="single"/>
        </w:rPr>
        <w:t>Foster Parents</w:t>
      </w:r>
    </w:p>
    <w:p w14:paraId="056A2B02" w14:textId="0C220F65" w:rsidR="004677EA" w:rsidRPr="00777DAA" w:rsidRDefault="00CA19E5" w:rsidP="00B92414">
      <w:pPr>
        <w:spacing w:line="480" w:lineRule="auto"/>
        <w:ind w:firstLine="720"/>
        <w:rPr>
          <w:rFonts w:ascii="Times New Roman" w:hAnsi="Times New Roman" w:cs="Times New Roman"/>
        </w:rPr>
      </w:pPr>
      <w:r>
        <w:rPr>
          <w:rFonts w:ascii="Times New Roman" w:hAnsi="Times New Roman" w:cs="Times New Roman"/>
        </w:rPr>
        <w:t>As noted above, a</w:t>
      </w:r>
      <w:r w:rsidRPr="00CA6ED6">
        <w:rPr>
          <w:rFonts w:ascii="Times New Roman" w:hAnsi="Times New Roman" w:cs="Times New Roman"/>
        </w:rPr>
        <w:t xml:space="preserve"> </w:t>
      </w:r>
      <w:r>
        <w:rPr>
          <w:rFonts w:ascii="Times New Roman" w:hAnsi="Times New Roman" w:cs="Times New Roman"/>
        </w:rPr>
        <w:t xml:space="preserve">hearsay </w:t>
      </w:r>
      <w:r w:rsidRPr="00CA6ED6">
        <w:rPr>
          <w:rFonts w:ascii="Times New Roman" w:hAnsi="Times New Roman" w:cs="Times New Roman"/>
        </w:rPr>
        <w:t xml:space="preserve">statement is </w:t>
      </w:r>
      <w:r>
        <w:rPr>
          <w:rFonts w:ascii="Times New Roman" w:hAnsi="Times New Roman" w:cs="Times New Roman"/>
        </w:rPr>
        <w:t>admissible</w:t>
      </w:r>
      <w:r w:rsidRPr="00CA6ED6">
        <w:rPr>
          <w:rFonts w:ascii="Times New Roman" w:hAnsi="Times New Roman" w:cs="Times New Roman"/>
        </w:rPr>
        <w:t xml:space="preserve"> if it is made by a party’s “</w:t>
      </w:r>
      <w:r w:rsidRPr="00CA19E5">
        <w:rPr>
          <w:rFonts w:ascii="Times New Roman" w:hAnsi="Times New Roman" w:cs="Times New Roman"/>
          <w:i/>
        </w:rPr>
        <w:t>agent</w:t>
      </w:r>
      <w:r w:rsidRPr="00CA6ED6">
        <w:rPr>
          <w:rFonts w:ascii="Times New Roman" w:hAnsi="Times New Roman" w:cs="Times New Roman"/>
        </w:rPr>
        <w:t xml:space="preserve"> or </w:t>
      </w:r>
      <w:r w:rsidRPr="00CA19E5">
        <w:rPr>
          <w:rFonts w:ascii="Times New Roman" w:hAnsi="Times New Roman" w:cs="Times New Roman"/>
        </w:rPr>
        <w:t>employee</w:t>
      </w:r>
      <w:r w:rsidRPr="00CA6ED6">
        <w:rPr>
          <w:rFonts w:ascii="Times New Roman" w:hAnsi="Times New Roman" w:cs="Times New Roman"/>
        </w:rPr>
        <w:t xml:space="preserve">” regarding “a matter within the scope of that relationship [ ] while it existed.”  </w:t>
      </w:r>
      <w:r w:rsidRPr="00CA6ED6">
        <w:rPr>
          <w:rFonts w:ascii="Times New Roman" w:hAnsi="Times New Roman" w:cs="Times New Roman"/>
          <w:smallCaps/>
        </w:rPr>
        <w:t>M</w:t>
      </w:r>
      <w:r>
        <w:rPr>
          <w:rFonts w:ascii="Times New Roman" w:hAnsi="Times New Roman" w:cs="Times New Roman"/>
          <w:smallCaps/>
        </w:rPr>
        <w:t xml:space="preserve">ass. </w:t>
      </w:r>
      <w:r>
        <w:rPr>
          <w:rFonts w:ascii="Times New Roman" w:hAnsi="Times New Roman" w:cs="Times New Roman"/>
          <w:smallCaps/>
        </w:rPr>
        <w:lastRenderedPageBreak/>
        <w:t>Guide</w:t>
      </w:r>
      <w:r w:rsidRPr="00CA6ED6">
        <w:rPr>
          <w:rFonts w:ascii="Times New Roman" w:hAnsi="Times New Roman" w:cs="Times New Roman"/>
          <w:smallCaps/>
        </w:rPr>
        <w:t xml:space="preserve"> Evid.</w:t>
      </w:r>
      <w:r w:rsidRPr="00CA6ED6">
        <w:rPr>
          <w:rFonts w:ascii="Times New Roman" w:hAnsi="Times New Roman" w:cs="Times New Roman"/>
        </w:rPr>
        <w:t xml:space="preserve"> </w:t>
      </w:r>
      <w:r>
        <w:rPr>
          <w:rFonts w:ascii="Times New Roman" w:hAnsi="Times New Roman" w:cs="Times New Roman"/>
        </w:rPr>
        <w:t xml:space="preserve">§ </w:t>
      </w:r>
      <w:r w:rsidRPr="00CA6ED6">
        <w:rPr>
          <w:rFonts w:ascii="Times New Roman" w:hAnsi="Times New Roman" w:cs="Times New Roman"/>
        </w:rPr>
        <w:t>801(d)(2)(D) (2015)</w:t>
      </w:r>
      <w:r>
        <w:rPr>
          <w:rFonts w:ascii="Times New Roman" w:hAnsi="Times New Roman" w:cs="Times New Roman"/>
        </w:rPr>
        <w:t xml:space="preserve"> (emphasis added)</w:t>
      </w:r>
      <w:r w:rsidRPr="00CA6ED6">
        <w:rPr>
          <w:rFonts w:ascii="Times New Roman" w:hAnsi="Times New Roman" w:cs="Times New Roman"/>
        </w:rPr>
        <w:t xml:space="preserve">.  </w:t>
      </w:r>
      <w:r w:rsidR="004677EA">
        <w:rPr>
          <w:rFonts w:ascii="Times New Roman" w:hAnsi="Times New Roman" w:cs="Times New Roman"/>
        </w:rPr>
        <w:t xml:space="preserve">In an unpublished Appeals Court decision, </w:t>
      </w:r>
      <w:r w:rsidR="004677EA" w:rsidRPr="004677EA">
        <w:rPr>
          <w:rFonts w:ascii="Times New Roman" w:hAnsi="Times New Roman" w:cs="Times New Roman"/>
          <w:i/>
        </w:rPr>
        <w:t>Reardon v. Boylan</w:t>
      </w:r>
      <w:r w:rsidR="004677EA">
        <w:rPr>
          <w:rFonts w:ascii="Times New Roman" w:hAnsi="Times New Roman" w:cs="Times New Roman"/>
        </w:rPr>
        <w:t xml:space="preserve">, 2014 Mass. App. Unpub. LEXIS 331 (March 17, 2014), the panel applied </w:t>
      </w:r>
      <w:r w:rsidR="004677EA" w:rsidRPr="004677EA">
        <w:rPr>
          <w:rFonts w:ascii="Times New Roman" w:hAnsi="Times New Roman" w:cs="Times New Roman"/>
          <w:i/>
        </w:rPr>
        <w:t>Ruszcyk</w:t>
      </w:r>
      <w:r w:rsidR="004677EA">
        <w:rPr>
          <w:rFonts w:ascii="Times New Roman" w:hAnsi="Times New Roman" w:cs="Times New Roman"/>
        </w:rPr>
        <w:t xml:space="preserve"> to the out-of-court statements of successor counsel in a malpractice action against former counsel.   Successor counsel sent an email to his co-counsel discussing </w:t>
      </w:r>
      <w:r w:rsidR="004677EA" w:rsidRPr="00777DAA">
        <w:rPr>
          <w:rFonts w:ascii="Times New Roman" w:hAnsi="Times New Roman" w:cs="Times New Roman"/>
        </w:rPr>
        <w:t>information the client (Reardon) told him</w:t>
      </w:r>
      <w:r w:rsidR="00777DAA" w:rsidRPr="00777DAA">
        <w:rPr>
          <w:rFonts w:ascii="Times New Roman" w:hAnsi="Times New Roman" w:cs="Times New Roman"/>
        </w:rPr>
        <w:t xml:space="preserve">.  That information contradicted certain allegations Reardon had raised against his former counsel.  </w:t>
      </w:r>
      <w:r w:rsidR="00777DAA">
        <w:rPr>
          <w:rFonts w:ascii="Times New Roman" w:hAnsi="Times New Roman" w:cs="Times New Roman"/>
        </w:rPr>
        <w:t xml:space="preserve">The trial court analyzed the issue of admissibility of the email under </w:t>
      </w:r>
      <w:r w:rsidR="00777DAA" w:rsidRPr="00777DAA">
        <w:rPr>
          <w:rFonts w:ascii="Times New Roman" w:hAnsi="Times New Roman" w:cs="Times New Roman"/>
          <w:i/>
        </w:rPr>
        <w:t>Ruszyck</w:t>
      </w:r>
      <w:r w:rsidR="00777DAA">
        <w:rPr>
          <w:rFonts w:ascii="Times New Roman" w:hAnsi="Times New Roman" w:cs="Times New Roman"/>
        </w:rPr>
        <w:t>, and admitted it as a vicarious admission by Reardon’s agent.  The panel agreed with the trial court:</w:t>
      </w:r>
    </w:p>
    <w:p w14:paraId="231D2F77" w14:textId="1B81860F" w:rsidR="00777DAA" w:rsidRPr="00777DAA" w:rsidRDefault="00777DAA" w:rsidP="00777DAA">
      <w:pPr>
        <w:ind w:left="720" w:right="720"/>
        <w:rPr>
          <w:rFonts w:ascii="Times New Roman" w:hAnsi="Times New Roman" w:cs="Times New Roman"/>
        </w:rPr>
      </w:pPr>
      <w:r w:rsidRPr="00777DAA">
        <w:rPr>
          <w:rStyle w:val="ssun"/>
          <w:rFonts w:ascii="Times New Roman" w:hAnsi="Times New Roman" w:cs="Times New Roman"/>
          <w:i/>
        </w:rPr>
        <w:t>Ruszcyk</w:t>
      </w:r>
      <w:r w:rsidRPr="00777DAA">
        <w:rPr>
          <w:rStyle w:val="ssrfcpassagedeactivated"/>
          <w:rFonts w:ascii="Times New Roman" w:hAnsi="Times New Roman" w:cs="Times New Roman"/>
        </w:rPr>
        <w:t xml:space="preserve"> mandates a two-step inquiry. </w:t>
      </w:r>
      <w:r>
        <w:rPr>
          <w:rStyle w:val="ssrfcpassagedeactivated"/>
          <w:rFonts w:ascii="Times New Roman" w:hAnsi="Times New Roman" w:cs="Times New Roman"/>
        </w:rPr>
        <w:t xml:space="preserve"> </w:t>
      </w:r>
      <w:r w:rsidRPr="00777DAA">
        <w:rPr>
          <w:rStyle w:val="ssrfcpassagedeactivated"/>
          <w:rFonts w:ascii="Times New Roman" w:hAnsi="Times New Roman" w:cs="Times New Roman"/>
        </w:rPr>
        <w:t xml:space="preserve">The first step is whether the declarant (here, </w:t>
      </w:r>
      <w:r>
        <w:rPr>
          <w:rStyle w:val="ssrfcpassagedeactivated"/>
          <w:rFonts w:ascii="Times New Roman" w:hAnsi="Times New Roman" w:cs="Times New Roman"/>
        </w:rPr>
        <w:t>[successor counsel])</w:t>
      </w:r>
      <w:r w:rsidRPr="00777DAA">
        <w:rPr>
          <w:rStyle w:val="ssrfcpassagedeactivated"/>
          <w:rFonts w:ascii="Times New Roman" w:hAnsi="Times New Roman" w:cs="Times New Roman"/>
        </w:rPr>
        <w:t xml:space="preserve"> was an agent or servant of Reardon's who was authorized to act on the matter about which he spoke. </w:t>
      </w:r>
      <w:r>
        <w:rPr>
          <w:rStyle w:val="ssrfcpassagedeactivated"/>
          <w:rFonts w:ascii="Times New Roman" w:hAnsi="Times New Roman" w:cs="Times New Roman"/>
        </w:rPr>
        <w:t xml:space="preserve"> </w:t>
      </w:r>
      <w:r w:rsidRPr="00777DAA">
        <w:rPr>
          <w:rStyle w:val="ssleftalign"/>
          <w:rFonts w:ascii="Times New Roman" w:hAnsi="Times New Roman" w:cs="Times New Roman"/>
        </w:rPr>
        <w:t xml:space="preserve">This step was plainly satisfied, because there can be little doubt that in making his statements in order to brief co-counsel, </w:t>
      </w:r>
      <w:r>
        <w:rPr>
          <w:rStyle w:val="ssleftalign"/>
          <w:rFonts w:ascii="Times New Roman" w:hAnsi="Times New Roman" w:cs="Times New Roman"/>
        </w:rPr>
        <w:t>[successor counsel]</w:t>
      </w:r>
      <w:r w:rsidRPr="00777DAA">
        <w:rPr>
          <w:rStyle w:val="ssleftalign"/>
          <w:rFonts w:ascii="Times New Roman" w:hAnsi="Times New Roman" w:cs="Times New Roman"/>
        </w:rPr>
        <w:t xml:space="preserve"> was an agent or servant of a party (Reardon) and was acting within the scope of his employment.</w:t>
      </w:r>
    </w:p>
    <w:p w14:paraId="60151CF5" w14:textId="77777777" w:rsidR="00777DAA" w:rsidRDefault="00777DAA" w:rsidP="00777DAA">
      <w:pPr>
        <w:ind w:firstLine="720"/>
        <w:rPr>
          <w:rFonts w:ascii="Times New Roman" w:hAnsi="Times New Roman" w:cs="Times New Roman"/>
          <w:i/>
        </w:rPr>
      </w:pPr>
    </w:p>
    <w:p w14:paraId="5DA2ADCE" w14:textId="597AED9C" w:rsidR="00777DAA" w:rsidRPr="006871DB" w:rsidRDefault="00777DAA" w:rsidP="00777DAA">
      <w:pPr>
        <w:spacing w:line="480" w:lineRule="auto"/>
        <w:rPr>
          <w:rFonts w:ascii="Times New Roman" w:hAnsi="Times New Roman" w:cs="Times New Roman"/>
        </w:rPr>
      </w:pPr>
      <w:r w:rsidRPr="006871DB">
        <w:rPr>
          <w:rFonts w:ascii="Times New Roman" w:hAnsi="Times New Roman" w:cs="Times New Roman"/>
          <w:i/>
        </w:rPr>
        <w:t>Reardon</w:t>
      </w:r>
      <w:r w:rsidRPr="006871DB">
        <w:rPr>
          <w:rFonts w:ascii="Times New Roman" w:hAnsi="Times New Roman" w:cs="Times New Roman"/>
        </w:rPr>
        <w:t>, at *11-12.  The panel then addressed whether the probative value of the email outweighed its potential prejudicial value, concluded that it did, and affirmed the trial court’s decision.</w:t>
      </w:r>
      <w:r w:rsidR="006A630E" w:rsidRPr="006871DB">
        <w:rPr>
          <w:rFonts w:ascii="Times New Roman" w:hAnsi="Times New Roman" w:cs="Times New Roman"/>
        </w:rPr>
        <w:t xml:space="preserve">  </w:t>
      </w:r>
      <w:r w:rsidR="006A630E" w:rsidRPr="006871DB">
        <w:rPr>
          <w:rFonts w:ascii="Times New Roman" w:hAnsi="Times New Roman" w:cs="Times New Roman"/>
          <w:i/>
        </w:rPr>
        <w:t>See also Chan</w:t>
      </w:r>
      <w:r w:rsidR="006A630E" w:rsidRPr="006871DB">
        <w:rPr>
          <w:rFonts w:ascii="Times New Roman" w:hAnsi="Times New Roman" w:cs="Times New Roman"/>
        </w:rPr>
        <w:t xml:space="preserve">, 70 Mass. App. Ct. at 85-86 (applying </w:t>
      </w:r>
      <w:r w:rsidR="006A630E" w:rsidRPr="006871DB">
        <w:rPr>
          <w:rFonts w:ascii="Times New Roman" w:hAnsi="Times New Roman" w:cs="Times New Roman"/>
          <w:i/>
        </w:rPr>
        <w:t>Ruszcyk</w:t>
      </w:r>
      <w:r w:rsidR="006A630E" w:rsidRPr="006871DB">
        <w:rPr>
          <w:rFonts w:ascii="Times New Roman" w:hAnsi="Times New Roman" w:cs="Times New Roman"/>
        </w:rPr>
        <w:t xml:space="preserve"> to statements of real estate brokers, but finding that they were not agents of the defendant-principal because the real estate brokers were acting against the principal’s interests at the time of the statements).  </w:t>
      </w:r>
      <w:r w:rsidR="006A630E" w:rsidRPr="006871DB">
        <w:rPr>
          <w:rFonts w:ascii="Times New Roman" w:hAnsi="Times New Roman" w:cs="Times New Roman"/>
          <w:i/>
        </w:rPr>
        <w:t>Cf</w:t>
      </w:r>
      <w:r w:rsidR="006A630E" w:rsidRPr="006871DB">
        <w:rPr>
          <w:rFonts w:ascii="Times New Roman" w:hAnsi="Times New Roman" w:cs="Times New Roman"/>
        </w:rPr>
        <w:t>. Fed R. Evid. 801(d)(2)(D) (stating that agent’s</w:t>
      </w:r>
      <w:r w:rsidR="006A630E" w:rsidRPr="006871DB">
        <w:rPr>
          <w:rStyle w:val="ssrfcpassagedeactivated"/>
          <w:rFonts w:ascii="Times New Roman" w:hAnsi="Times New Roman" w:cs="Times New Roman"/>
        </w:rPr>
        <w:t xml:space="preserve"> statements cannot be imputed to principal if </w:t>
      </w:r>
      <w:r w:rsidR="006871DB" w:rsidRPr="006871DB">
        <w:rPr>
          <w:rStyle w:val="ssrfcpassagedeactivated"/>
          <w:rFonts w:ascii="Times New Roman" w:hAnsi="Times New Roman" w:cs="Times New Roman"/>
        </w:rPr>
        <w:t>agent and principal</w:t>
      </w:r>
      <w:r w:rsidR="006A630E" w:rsidRPr="006871DB">
        <w:rPr>
          <w:rStyle w:val="ssrfcpassagedeactivated"/>
          <w:rFonts w:ascii="Times New Roman" w:hAnsi="Times New Roman" w:cs="Times New Roman"/>
        </w:rPr>
        <w:t xml:space="preserve"> have conflicting litigation positions).</w:t>
      </w:r>
    </w:p>
    <w:p w14:paraId="4F5AA8EE" w14:textId="7004AB28" w:rsidR="00B92414" w:rsidRDefault="00552CD4" w:rsidP="00B92414">
      <w:pPr>
        <w:spacing w:line="480" w:lineRule="auto"/>
        <w:ind w:firstLine="720"/>
        <w:rPr>
          <w:rFonts w:ascii="Times New Roman" w:hAnsi="Times New Roman" w:cs="Times New Roman"/>
        </w:rPr>
      </w:pPr>
      <w:r w:rsidRPr="006871DB">
        <w:rPr>
          <w:rFonts w:ascii="Times New Roman" w:hAnsi="Times New Roman" w:cs="Times New Roman"/>
        </w:rPr>
        <w:t>Foster parents are</w:t>
      </w:r>
      <w:r w:rsidR="00FD49E7" w:rsidRPr="006871DB">
        <w:rPr>
          <w:rFonts w:ascii="Times New Roman" w:hAnsi="Times New Roman" w:cs="Times New Roman"/>
        </w:rPr>
        <w:t xml:space="preserve"> not employe</w:t>
      </w:r>
      <w:r w:rsidR="00510D48" w:rsidRPr="006871DB">
        <w:rPr>
          <w:rFonts w:ascii="Times New Roman" w:hAnsi="Times New Roman" w:cs="Times New Roman"/>
        </w:rPr>
        <w:t>e</w:t>
      </w:r>
      <w:r w:rsidR="00C043C4" w:rsidRPr="006871DB">
        <w:rPr>
          <w:rFonts w:ascii="Times New Roman" w:hAnsi="Times New Roman" w:cs="Times New Roman"/>
        </w:rPr>
        <w:t>s of DCF</w:t>
      </w:r>
      <w:r w:rsidR="00CA19E5" w:rsidRPr="006871DB">
        <w:rPr>
          <w:rFonts w:ascii="Times New Roman" w:hAnsi="Times New Roman" w:cs="Times New Roman"/>
        </w:rPr>
        <w:t>, but they are agents of</w:t>
      </w:r>
      <w:r w:rsidR="00CA19E5" w:rsidRPr="00777DAA">
        <w:rPr>
          <w:rFonts w:ascii="Times New Roman" w:hAnsi="Times New Roman" w:cs="Times New Roman"/>
        </w:rPr>
        <w:t xml:space="preserve"> DCF</w:t>
      </w:r>
      <w:r w:rsidR="00F73B1E" w:rsidRPr="00777DAA">
        <w:rPr>
          <w:rFonts w:ascii="Times New Roman" w:hAnsi="Times New Roman" w:cs="Times New Roman"/>
        </w:rPr>
        <w:t xml:space="preserve">.  </w:t>
      </w:r>
      <w:r w:rsidR="00CA19E5" w:rsidRPr="00777DAA">
        <w:rPr>
          <w:rFonts w:ascii="Times New Roman" w:hAnsi="Times New Roman" w:cs="Times New Roman"/>
        </w:rPr>
        <w:t>They are expressly authorized to act for DCF, as a child’s legal custodian, in the</w:t>
      </w:r>
      <w:r w:rsidR="00B92414" w:rsidRPr="00777DAA">
        <w:rPr>
          <w:rFonts w:ascii="Times New Roman" w:hAnsi="Times New Roman" w:cs="Times New Roman"/>
        </w:rPr>
        <w:t xml:space="preserve"> day-to-day care of the child.  </w:t>
      </w:r>
      <w:r w:rsidR="00777DAA">
        <w:rPr>
          <w:rFonts w:ascii="Times New Roman" w:hAnsi="Times New Roman" w:cs="Times New Roman"/>
        </w:rPr>
        <w:t xml:space="preserve">They are authorized to discuss with DCF all aspects of that care, including observations of </w:t>
      </w:r>
      <w:r w:rsidR="00777DAA">
        <w:rPr>
          <w:rFonts w:ascii="Times New Roman" w:hAnsi="Times New Roman" w:cs="Times New Roman"/>
        </w:rPr>
        <w:lastRenderedPageBreak/>
        <w:t>the child before, during, and after visits, and observations of others at visits.</w:t>
      </w:r>
      <w:r w:rsidR="006871DB">
        <w:rPr>
          <w:rStyle w:val="FootnoteReference"/>
          <w:rFonts w:ascii="Times New Roman" w:hAnsi="Times New Roman" w:cs="Times New Roman"/>
        </w:rPr>
        <w:footnoteReference w:id="1"/>
      </w:r>
      <w:r w:rsidR="00777DAA">
        <w:rPr>
          <w:rFonts w:ascii="Times New Roman" w:hAnsi="Times New Roman" w:cs="Times New Roman"/>
        </w:rPr>
        <w:t xml:space="preserve">  </w:t>
      </w:r>
      <w:r w:rsidR="00B92414">
        <w:rPr>
          <w:rFonts w:ascii="Times New Roman" w:hAnsi="Times New Roman" w:cs="Times New Roman"/>
        </w:rPr>
        <w:t xml:space="preserve">Because foster parents are agents of DCF, their statements made “within the scope of that relationship [ ] while it existed,” </w:t>
      </w:r>
      <w:r w:rsidR="00B92414" w:rsidRPr="00CA6ED6">
        <w:rPr>
          <w:rFonts w:ascii="Times New Roman" w:hAnsi="Times New Roman" w:cs="Times New Roman"/>
          <w:smallCaps/>
        </w:rPr>
        <w:t>M</w:t>
      </w:r>
      <w:r w:rsidR="00B92414">
        <w:rPr>
          <w:rFonts w:ascii="Times New Roman" w:hAnsi="Times New Roman" w:cs="Times New Roman"/>
          <w:smallCaps/>
        </w:rPr>
        <w:t>ass. Guide</w:t>
      </w:r>
      <w:r w:rsidR="00B92414" w:rsidRPr="00CA6ED6">
        <w:rPr>
          <w:rFonts w:ascii="Times New Roman" w:hAnsi="Times New Roman" w:cs="Times New Roman"/>
          <w:smallCaps/>
        </w:rPr>
        <w:t xml:space="preserve"> Evid.</w:t>
      </w:r>
      <w:r w:rsidR="00B92414" w:rsidRPr="00CA6ED6">
        <w:rPr>
          <w:rFonts w:ascii="Times New Roman" w:hAnsi="Times New Roman" w:cs="Times New Roman"/>
        </w:rPr>
        <w:t xml:space="preserve"> </w:t>
      </w:r>
      <w:r w:rsidR="00B92414">
        <w:rPr>
          <w:rFonts w:ascii="Times New Roman" w:hAnsi="Times New Roman" w:cs="Times New Roman"/>
        </w:rPr>
        <w:t xml:space="preserve">§ </w:t>
      </w:r>
      <w:r w:rsidR="00B92414" w:rsidRPr="00CA6ED6">
        <w:rPr>
          <w:rFonts w:ascii="Times New Roman" w:hAnsi="Times New Roman" w:cs="Times New Roman"/>
        </w:rPr>
        <w:t>801(d)(2)(D)</w:t>
      </w:r>
      <w:r w:rsidR="00B92414">
        <w:rPr>
          <w:rFonts w:ascii="Times New Roman" w:hAnsi="Times New Roman" w:cs="Times New Roman"/>
        </w:rPr>
        <w:t>, are admissible as admissions or statement of a party opponent against DCF.</w:t>
      </w:r>
    </w:p>
    <w:p w14:paraId="4D9A37FD" w14:textId="144C4E5D" w:rsidR="00F73B1E" w:rsidRDefault="00777DAA" w:rsidP="00F73B1E">
      <w:pPr>
        <w:pStyle w:val="FootnoteText"/>
        <w:spacing w:line="480" w:lineRule="auto"/>
        <w:ind w:firstLine="720"/>
        <w:rPr>
          <w:rFonts w:ascii="Times New Roman" w:hAnsi="Times New Roman" w:cs="Times New Roman"/>
        </w:rPr>
      </w:pPr>
      <w:r>
        <w:rPr>
          <w:rFonts w:ascii="Times New Roman" w:hAnsi="Times New Roman" w:cs="Times New Roman"/>
        </w:rPr>
        <w:t>In addition</w:t>
      </w:r>
      <w:r w:rsidR="00CA19E5">
        <w:rPr>
          <w:rFonts w:ascii="Times New Roman" w:hAnsi="Times New Roman" w:cs="Times New Roman"/>
        </w:rPr>
        <w:t xml:space="preserve">, for hearsay purposes – albeit, perhaps not for other purposes – foster </w:t>
      </w:r>
      <w:r w:rsidR="00C57E87">
        <w:rPr>
          <w:rFonts w:ascii="Times New Roman" w:hAnsi="Times New Roman" w:cs="Times New Roman"/>
        </w:rPr>
        <w:t xml:space="preserve">parents </w:t>
      </w:r>
      <w:r w:rsidR="00CA19E5">
        <w:rPr>
          <w:rFonts w:ascii="Times New Roman" w:hAnsi="Times New Roman" w:cs="Times New Roman"/>
        </w:rPr>
        <w:t>should be</w:t>
      </w:r>
      <w:r w:rsidR="00C57E87">
        <w:rPr>
          <w:rFonts w:ascii="Times New Roman" w:hAnsi="Times New Roman" w:cs="Times New Roman"/>
        </w:rPr>
        <w:t xml:space="preserve"> </w:t>
      </w:r>
      <w:r w:rsidR="00F73B1E">
        <w:rPr>
          <w:rFonts w:ascii="Times New Roman" w:hAnsi="Times New Roman" w:cs="Times New Roman"/>
        </w:rPr>
        <w:t xml:space="preserve">treated like DCF employees under </w:t>
      </w:r>
      <w:r w:rsidR="00D15D86">
        <w:rPr>
          <w:rFonts w:ascii="Times New Roman" w:hAnsi="Times New Roman" w:cs="Times New Roman"/>
          <w:i/>
        </w:rPr>
        <w:t>Adoption of Vidal</w:t>
      </w:r>
      <w:r w:rsidR="00D15D86">
        <w:rPr>
          <w:rFonts w:ascii="Times New Roman" w:hAnsi="Times New Roman" w:cs="Times New Roman"/>
        </w:rPr>
        <w:t xml:space="preserve">, 56 Mass. App. Ct. 916, </w:t>
      </w:r>
      <w:r w:rsidR="00D15D86" w:rsidRPr="00CA6ED6">
        <w:rPr>
          <w:rFonts w:ascii="Times New Roman" w:hAnsi="Times New Roman" w:cs="Times New Roman"/>
        </w:rPr>
        <w:t>917</w:t>
      </w:r>
      <w:r w:rsidR="00D15D86">
        <w:rPr>
          <w:rFonts w:ascii="Times New Roman" w:hAnsi="Times New Roman" w:cs="Times New Roman"/>
        </w:rPr>
        <w:t xml:space="preserve"> (2002).  </w:t>
      </w:r>
      <w:r w:rsidR="00F73B1E">
        <w:rPr>
          <w:rFonts w:ascii="Times New Roman" w:hAnsi="Times New Roman" w:cs="Times New Roman"/>
        </w:rPr>
        <w:t xml:space="preserve"> </w:t>
      </w:r>
      <w:r w:rsidR="00333116">
        <w:rPr>
          <w:rFonts w:ascii="Times New Roman" w:hAnsi="Times New Roman" w:cs="Times New Roman"/>
        </w:rPr>
        <w:t xml:space="preserve">In </w:t>
      </w:r>
      <w:r w:rsidR="00333116">
        <w:rPr>
          <w:rFonts w:ascii="Times New Roman" w:hAnsi="Times New Roman" w:cs="Times New Roman"/>
          <w:i/>
        </w:rPr>
        <w:t>Vidal</w:t>
      </w:r>
      <w:r w:rsidR="00333116">
        <w:rPr>
          <w:rFonts w:ascii="Times New Roman" w:hAnsi="Times New Roman" w:cs="Times New Roman"/>
        </w:rPr>
        <w:t xml:space="preserve">, </w:t>
      </w:r>
      <w:r w:rsidR="00F73B1E">
        <w:rPr>
          <w:rFonts w:ascii="Times New Roman" w:hAnsi="Times New Roman" w:cs="Times New Roman"/>
        </w:rPr>
        <w:t>a</w:t>
      </w:r>
      <w:r w:rsidR="00333116">
        <w:rPr>
          <w:rFonts w:ascii="Times New Roman" w:hAnsi="Times New Roman" w:cs="Times New Roman"/>
        </w:rPr>
        <w:t xml:space="preserve"> foster care agency, contracted by DCF, </w:t>
      </w:r>
      <w:r w:rsidR="008B1A89">
        <w:rPr>
          <w:rFonts w:ascii="Times New Roman" w:hAnsi="Times New Roman" w:cs="Times New Roman"/>
        </w:rPr>
        <w:t>created written</w:t>
      </w:r>
      <w:r w:rsidR="00333116">
        <w:rPr>
          <w:rFonts w:ascii="Times New Roman" w:hAnsi="Times New Roman" w:cs="Times New Roman"/>
        </w:rPr>
        <w:t xml:space="preserve"> assessments of the needs of the child.  </w:t>
      </w:r>
      <w:r w:rsidR="00333116">
        <w:rPr>
          <w:rFonts w:ascii="Times New Roman" w:hAnsi="Times New Roman" w:cs="Times New Roman"/>
          <w:i/>
        </w:rPr>
        <w:t>See id.</w:t>
      </w:r>
      <w:r w:rsidR="00333116">
        <w:rPr>
          <w:rFonts w:ascii="Times New Roman" w:hAnsi="Times New Roman" w:cs="Times New Roman"/>
        </w:rPr>
        <w:t xml:space="preserve">  Such assessments</w:t>
      </w:r>
      <w:r w:rsidR="00EC0CB1">
        <w:rPr>
          <w:rFonts w:ascii="Times New Roman" w:hAnsi="Times New Roman" w:cs="Times New Roman"/>
        </w:rPr>
        <w:t xml:space="preserve"> become part of DCF’s</w:t>
      </w:r>
      <w:r w:rsidR="00333116">
        <w:rPr>
          <w:rFonts w:ascii="Times New Roman" w:hAnsi="Times New Roman" w:cs="Times New Roman"/>
        </w:rPr>
        <w:t xml:space="preserve"> records</w:t>
      </w:r>
      <w:r w:rsidR="00C043C4">
        <w:rPr>
          <w:rFonts w:ascii="Times New Roman" w:hAnsi="Times New Roman" w:cs="Times New Roman"/>
        </w:rPr>
        <w:t xml:space="preserve">. </w:t>
      </w:r>
      <w:r w:rsidR="00333116">
        <w:rPr>
          <w:rFonts w:ascii="Times New Roman" w:hAnsi="Times New Roman" w:cs="Times New Roman"/>
        </w:rPr>
        <w:t xml:space="preserve"> </w:t>
      </w:r>
      <w:r w:rsidR="00333116">
        <w:rPr>
          <w:rFonts w:ascii="Times New Roman" w:hAnsi="Times New Roman" w:cs="Times New Roman"/>
          <w:i/>
        </w:rPr>
        <w:t>See id.</w:t>
      </w:r>
      <w:r w:rsidR="00333116">
        <w:rPr>
          <w:rFonts w:ascii="Times New Roman" w:hAnsi="Times New Roman" w:cs="Times New Roman"/>
        </w:rPr>
        <w:t xml:space="preserve">  </w:t>
      </w:r>
      <w:r w:rsidR="00552CD4" w:rsidRPr="00CA6ED6">
        <w:rPr>
          <w:rFonts w:ascii="Times New Roman" w:hAnsi="Times New Roman" w:cs="Times New Roman"/>
        </w:rPr>
        <w:t>According to</w:t>
      </w:r>
      <w:r w:rsidR="00F73B1E">
        <w:rPr>
          <w:rFonts w:ascii="Times New Roman" w:hAnsi="Times New Roman" w:cs="Times New Roman"/>
        </w:rPr>
        <w:t xml:space="preserve"> the Appeals Court in</w:t>
      </w:r>
      <w:r w:rsidR="00552CD4" w:rsidRPr="00CA6ED6">
        <w:rPr>
          <w:rFonts w:ascii="Times New Roman" w:hAnsi="Times New Roman" w:cs="Times New Roman"/>
        </w:rPr>
        <w:t xml:space="preserve"> </w:t>
      </w:r>
      <w:r w:rsidR="00552CD4" w:rsidRPr="00CA6ED6">
        <w:rPr>
          <w:rFonts w:ascii="Times New Roman" w:hAnsi="Times New Roman" w:cs="Times New Roman"/>
          <w:i/>
        </w:rPr>
        <w:t>Vidal</w:t>
      </w:r>
      <w:r w:rsidR="00552CD4" w:rsidRPr="00CA6ED6">
        <w:rPr>
          <w:rFonts w:ascii="Times New Roman" w:hAnsi="Times New Roman" w:cs="Times New Roman"/>
        </w:rPr>
        <w:t>, “[a]n assessment completed by one employed by an organization under contract with [DCF] is the functional equivalent of an assessment undertak</w:t>
      </w:r>
      <w:r w:rsidR="00FD49E7">
        <w:rPr>
          <w:rFonts w:ascii="Times New Roman" w:hAnsi="Times New Roman" w:cs="Times New Roman"/>
        </w:rPr>
        <w:t>en by a person employed directly</w:t>
      </w:r>
      <w:r w:rsidR="00552CD4" w:rsidRPr="00CA6ED6">
        <w:rPr>
          <w:rFonts w:ascii="Times New Roman" w:hAnsi="Times New Roman" w:cs="Times New Roman"/>
        </w:rPr>
        <w:t xml:space="preserve"> by [</w:t>
      </w:r>
      <w:r w:rsidR="00BB1811" w:rsidRPr="00CA6ED6">
        <w:rPr>
          <w:rFonts w:ascii="Times New Roman" w:hAnsi="Times New Roman" w:cs="Times New Roman"/>
        </w:rPr>
        <w:t xml:space="preserve">DCF].” </w:t>
      </w:r>
      <w:r w:rsidR="00F73B1E">
        <w:rPr>
          <w:rFonts w:ascii="Times New Roman" w:hAnsi="Times New Roman" w:cs="Times New Roman"/>
        </w:rPr>
        <w:t xml:space="preserve"> </w:t>
      </w:r>
      <w:r w:rsidR="001B75A0">
        <w:rPr>
          <w:rFonts w:ascii="Times New Roman" w:hAnsi="Times New Roman" w:cs="Times New Roman"/>
          <w:i/>
        </w:rPr>
        <w:t>Id.</w:t>
      </w:r>
      <w:r w:rsidR="00BB1811" w:rsidRPr="00CA6ED6">
        <w:rPr>
          <w:rFonts w:ascii="Times New Roman" w:hAnsi="Times New Roman" w:cs="Times New Roman"/>
        </w:rPr>
        <w:t xml:space="preserve"> at 917; </w:t>
      </w:r>
      <w:r w:rsidR="00BB1811" w:rsidRPr="00CA6ED6">
        <w:rPr>
          <w:rFonts w:ascii="Times New Roman" w:hAnsi="Times New Roman" w:cs="Times New Roman"/>
          <w:i/>
        </w:rPr>
        <w:t>see</w:t>
      </w:r>
      <w:r w:rsidR="00BB1811" w:rsidRPr="00CA6ED6">
        <w:rPr>
          <w:rFonts w:ascii="Times New Roman" w:hAnsi="Times New Roman" w:cs="Times New Roman"/>
        </w:rPr>
        <w:t xml:space="preserve"> 110 CMR 7.002(3) (stating “[a]ll written contracts between the Department and any provider shall obligate the provider to comply with all of 110 CMR, service delivery sta</w:t>
      </w:r>
      <w:r w:rsidR="00FD49E7">
        <w:rPr>
          <w:rFonts w:ascii="Times New Roman" w:hAnsi="Times New Roman" w:cs="Times New Roman"/>
        </w:rPr>
        <w:t xml:space="preserve">ndards, and policies”).  </w:t>
      </w:r>
      <w:r w:rsidR="00F73B1E">
        <w:rPr>
          <w:rFonts w:ascii="Times New Roman" w:hAnsi="Times New Roman" w:cs="Times New Roman"/>
        </w:rPr>
        <w:t>Because the private agency’s assessments were the functional equivalent of DCF’s own assessments, t</w:t>
      </w:r>
      <w:r w:rsidR="00BB1811" w:rsidRPr="00CA6ED6">
        <w:rPr>
          <w:rFonts w:ascii="Times New Roman" w:hAnsi="Times New Roman" w:cs="Times New Roman"/>
        </w:rPr>
        <w:t xml:space="preserve">he trial court properly admitted </w:t>
      </w:r>
      <w:r w:rsidR="00F73B1E">
        <w:rPr>
          <w:rFonts w:ascii="Times New Roman" w:hAnsi="Times New Roman" w:cs="Times New Roman"/>
        </w:rPr>
        <w:t xml:space="preserve">them as </w:t>
      </w:r>
      <w:r w:rsidR="00FD49E7">
        <w:rPr>
          <w:rFonts w:ascii="Times New Roman" w:hAnsi="Times New Roman" w:cs="Times New Roman"/>
        </w:rPr>
        <w:t>“official report</w:t>
      </w:r>
      <w:r w:rsidR="00F73B1E">
        <w:rPr>
          <w:rFonts w:ascii="Times New Roman" w:hAnsi="Times New Roman" w:cs="Times New Roman"/>
        </w:rPr>
        <w:t>s.”</w:t>
      </w:r>
      <w:r w:rsidR="00BB1811" w:rsidRPr="00CA6ED6">
        <w:rPr>
          <w:rFonts w:ascii="Times New Roman" w:hAnsi="Times New Roman" w:cs="Times New Roman"/>
        </w:rPr>
        <w:t xml:space="preserve">  </w:t>
      </w:r>
      <w:r w:rsidR="00BB1811" w:rsidRPr="00CA6ED6">
        <w:rPr>
          <w:rFonts w:ascii="Times New Roman" w:hAnsi="Times New Roman" w:cs="Times New Roman"/>
          <w:i/>
        </w:rPr>
        <w:t>See</w:t>
      </w:r>
      <w:r w:rsidR="00BB1811" w:rsidRPr="00CA6ED6">
        <w:rPr>
          <w:rFonts w:ascii="Times New Roman" w:hAnsi="Times New Roman" w:cs="Times New Roman"/>
        </w:rPr>
        <w:t xml:space="preserve"> </w:t>
      </w:r>
      <w:r w:rsidR="00BB1811" w:rsidRPr="00CA6ED6">
        <w:rPr>
          <w:rFonts w:ascii="Times New Roman" w:hAnsi="Times New Roman" w:cs="Times New Roman"/>
          <w:i/>
        </w:rPr>
        <w:t>Vidal</w:t>
      </w:r>
      <w:r w:rsidR="00BB1811" w:rsidRPr="00CA6ED6">
        <w:rPr>
          <w:rFonts w:ascii="Times New Roman" w:hAnsi="Times New Roman" w:cs="Times New Roman"/>
        </w:rPr>
        <w:t>, 56 Mass. App. Ct. at 916.</w:t>
      </w:r>
      <w:r w:rsidR="00F73B1E" w:rsidRPr="00F73B1E">
        <w:rPr>
          <w:rFonts w:ascii="Times New Roman" w:hAnsi="Times New Roman" w:cs="Times New Roman"/>
        </w:rPr>
        <w:t xml:space="preserve"> </w:t>
      </w:r>
      <w:r w:rsidR="00F73B1E">
        <w:rPr>
          <w:rFonts w:ascii="Times New Roman" w:hAnsi="Times New Roman" w:cs="Times New Roman"/>
        </w:rPr>
        <w:t xml:space="preserve"> </w:t>
      </w:r>
    </w:p>
    <w:p w14:paraId="46A62A36" w14:textId="72ED8627" w:rsidR="0013422E" w:rsidRDefault="00A75C38" w:rsidP="00674CC1">
      <w:pPr>
        <w:spacing w:line="480" w:lineRule="auto"/>
        <w:ind w:firstLine="720"/>
        <w:rPr>
          <w:rFonts w:ascii="Times New Roman" w:hAnsi="Times New Roman" w:cs="Times New Roman"/>
        </w:rPr>
      </w:pPr>
      <w:r>
        <w:rPr>
          <w:rFonts w:ascii="Times New Roman" w:hAnsi="Times New Roman" w:cs="Times New Roman"/>
        </w:rPr>
        <w:t xml:space="preserve">By analogy, if a written task contracted out by DCF to a private agency satisfies a hearsay exception (official records) if </w:t>
      </w:r>
      <w:r w:rsidR="00F73B1E">
        <w:rPr>
          <w:rFonts w:ascii="Times New Roman" w:hAnsi="Times New Roman" w:cs="Times New Roman"/>
        </w:rPr>
        <w:t xml:space="preserve">the written product is the functional equivalent of </w:t>
      </w:r>
      <w:r>
        <w:rPr>
          <w:rFonts w:ascii="Times New Roman" w:hAnsi="Times New Roman" w:cs="Times New Roman"/>
        </w:rPr>
        <w:t xml:space="preserve">DCF’s written product, a verbal or written statement by a foster parent should also satisfy a hearsay exception (admissions or statement of a party opponent) if the foster parent is performing a task that is contracted out by DCF but would otherwise be performed by DCF.  DCF, as legal </w:t>
      </w:r>
      <w:r>
        <w:rPr>
          <w:rFonts w:ascii="Times New Roman" w:hAnsi="Times New Roman" w:cs="Times New Roman"/>
        </w:rPr>
        <w:lastRenderedPageBreak/>
        <w:t xml:space="preserve">custodian of children, is responsible for their care.  </w:t>
      </w:r>
      <w:r w:rsidRPr="00A75C38">
        <w:rPr>
          <w:rFonts w:ascii="Times New Roman" w:hAnsi="Times New Roman" w:cs="Times New Roman"/>
          <w:i/>
        </w:rPr>
        <w:t>See</w:t>
      </w:r>
      <w:r>
        <w:rPr>
          <w:rFonts w:ascii="Times New Roman" w:hAnsi="Times New Roman" w:cs="Times New Roman"/>
        </w:rPr>
        <w:t xml:space="preserve"> G.L. c. 119, § 21.  As legal custodian, DCF must take care of children’s daily needs, as well as determine their place of abode, visits, and medical care.  </w:t>
      </w:r>
      <w:r w:rsidRPr="00A75C38">
        <w:rPr>
          <w:rFonts w:ascii="Times New Roman" w:hAnsi="Times New Roman" w:cs="Times New Roman"/>
          <w:i/>
        </w:rPr>
        <w:t>Id</w:t>
      </w:r>
      <w:r>
        <w:rPr>
          <w:rFonts w:ascii="Times New Roman" w:hAnsi="Times New Roman" w:cs="Times New Roman"/>
        </w:rPr>
        <w:t xml:space="preserve">.  An agency can only do so through a caretaker/custodian – that is, a foster parent.  DCF would have to provide its own foster parents were it not for its ability to contract that service out to private agencies.  </w:t>
      </w:r>
      <w:r w:rsidR="00F73B1E">
        <w:rPr>
          <w:rFonts w:ascii="Times New Roman" w:hAnsi="Times New Roman" w:cs="Times New Roman"/>
        </w:rPr>
        <w:t>Foster parents’ work</w:t>
      </w:r>
      <w:r>
        <w:rPr>
          <w:rFonts w:ascii="Times New Roman" w:hAnsi="Times New Roman" w:cs="Times New Roman"/>
        </w:rPr>
        <w:t xml:space="preserve"> – like that of the agency in </w:t>
      </w:r>
      <w:r w:rsidRPr="00A75C38">
        <w:rPr>
          <w:rFonts w:ascii="Times New Roman" w:hAnsi="Times New Roman" w:cs="Times New Roman"/>
          <w:i/>
        </w:rPr>
        <w:t>Vidal</w:t>
      </w:r>
      <w:r>
        <w:rPr>
          <w:rFonts w:ascii="Times New Roman" w:hAnsi="Times New Roman" w:cs="Times New Roman"/>
        </w:rPr>
        <w:t xml:space="preserve"> – </w:t>
      </w:r>
      <w:r w:rsidR="00CA19E5">
        <w:rPr>
          <w:rFonts w:ascii="Times New Roman" w:hAnsi="Times New Roman" w:cs="Times New Roman"/>
        </w:rPr>
        <w:t xml:space="preserve">is </w:t>
      </w:r>
      <w:r>
        <w:rPr>
          <w:rFonts w:ascii="Times New Roman" w:hAnsi="Times New Roman" w:cs="Times New Roman"/>
        </w:rPr>
        <w:t xml:space="preserve">the “functional equivalent” of work that would have to be done by DCF employees.  </w:t>
      </w:r>
    </w:p>
    <w:p w14:paraId="7C67BA04" w14:textId="697995F3" w:rsidR="00C043C4" w:rsidRDefault="00B92414" w:rsidP="001F663F">
      <w:pPr>
        <w:spacing w:line="480" w:lineRule="auto"/>
        <w:ind w:firstLine="720"/>
        <w:rPr>
          <w:rFonts w:ascii="Times New Roman" w:hAnsi="Times New Roman" w:cs="Times New Roman"/>
        </w:rPr>
      </w:pPr>
      <w:r>
        <w:rPr>
          <w:rFonts w:ascii="Times New Roman" w:hAnsi="Times New Roman" w:cs="Times New Roman"/>
        </w:rPr>
        <w:t>Finally</w:t>
      </w:r>
      <w:r w:rsidR="00674CC1">
        <w:rPr>
          <w:rFonts w:ascii="Times New Roman" w:hAnsi="Times New Roman" w:cs="Times New Roman"/>
        </w:rPr>
        <w:t>, f</w:t>
      </w:r>
      <w:r w:rsidR="008B1A89">
        <w:rPr>
          <w:rFonts w:ascii="Times New Roman" w:hAnsi="Times New Roman" w:cs="Times New Roman"/>
        </w:rPr>
        <w:t>oster p</w:t>
      </w:r>
      <w:r w:rsidR="0036469C">
        <w:rPr>
          <w:rFonts w:ascii="Times New Roman" w:hAnsi="Times New Roman" w:cs="Times New Roman"/>
        </w:rPr>
        <w:t xml:space="preserve">arents are “public employees.”  A “public employee” who </w:t>
      </w:r>
      <w:r>
        <w:rPr>
          <w:rFonts w:ascii="Times New Roman" w:hAnsi="Times New Roman" w:cs="Times New Roman"/>
        </w:rPr>
        <w:t>is</w:t>
      </w:r>
      <w:r w:rsidR="0036469C">
        <w:rPr>
          <w:rFonts w:ascii="Times New Roman" w:hAnsi="Times New Roman" w:cs="Times New Roman"/>
        </w:rPr>
        <w:t xml:space="preserve"> acting within the scope of her employment is entitled to “both individual immunity from negligence claims and legal representation by the Commonwealth.”  </w:t>
      </w:r>
      <w:r w:rsidR="0036469C">
        <w:rPr>
          <w:rFonts w:ascii="Times New Roman" w:hAnsi="Times New Roman" w:cs="Times New Roman"/>
          <w:i/>
        </w:rPr>
        <w:t>See</w:t>
      </w:r>
      <w:r w:rsidR="0036469C">
        <w:rPr>
          <w:rFonts w:ascii="Times New Roman" w:hAnsi="Times New Roman" w:cs="Times New Roman"/>
        </w:rPr>
        <w:t xml:space="preserve"> </w:t>
      </w:r>
      <w:r w:rsidR="0036469C" w:rsidRPr="00B3479F">
        <w:rPr>
          <w:rFonts w:ascii="Times New Roman" w:hAnsi="Times New Roman" w:cs="Times New Roman"/>
          <w:i/>
        </w:rPr>
        <w:t>Archer ex rel. Goodwin v. Dare Family Servs.</w:t>
      </w:r>
      <w:r w:rsidR="0036469C">
        <w:rPr>
          <w:rFonts w:ascii="Times New Roman" w:hAnsi="Times New Roman" w:cs="Times New Roman"/>
        </w:rPr>
        <w:t>, 14 Mass. L. Rep. 375, *6 (2002); G.L.</w:t>
      </w:r>
      <w:r>
        <w:rPr>
          <w:rFonts w:ascii="Times New Roman" w:hAnsi="Times New Roman" w:cs="Times New Roman"/>
        </w:rPr>
        <w:t xml:space="preserve"> </w:t>
      </w:r>
      <w:r w:rsidR="0036469C">
        <w:rPr>
          <w:rFonts w:ascii="Times New Roman" w:hAnsi="Times New Roman" w:cs="Times New Roman"/>
        </w:rPr>
        <w:t xml:space="preserve">c. 258, § 10(b).  </w:t>
      </w:r>
      <w:r w:rsidR="00EC7BE4">
        <w:rPr>
          <w:rFonts w:ascii="Times New Roman" w:hAnsi="Times New Roman" w:cs="Times New Roman"/>
        </w:rPr>
        <w:t>I</w:t>
      </w:r>
      <w:r w:rsidR="00EC7BE4" w:rsidRPr="00CA6ED6">
        <w:rPr>
          <w:rFonts w:ascii="Times New Roman" w:hAnsi="Times New Roman" w:cs="Times New Roman"/>
        </w:rPr>
        <w:t xml:space="preserve">n </w:t>
      </w:r>
      <w:r w:rsidR="00EC7BE4" w:rsidRPr="00CA6ED6">
        <w:rPr>
          <w:rFonts w:ascii="Times New Roman" w:hAnsi="Times New Roman" w:cs="Times New Roman"/>
          <w:i/>
        </w:rPr>
        <w:t>Perez v. Sugarman</w:t>
      </w:r>
      <w:r w:rsidR="00EC7BE4" w:rsidRPr="00CA6ED6">
        <w:rPr>
          <w:rFonts w:ascii="Times New Roman" w:hAnsi="Times New Roman" w:cs="Times New Roman"/>
        </w:rPr>
        <w:t>, the private institutions that took custody of the children were “performing a function public or governmental in nature and which would have to be performed by the Government but for the ac</w:t>
      </w:r>
      <w:r w:rsidR="0036469C">
        <w:rPr>
          <w:rFonts w:ascii="Times New Roman" w:hAnsi="Times New Roman" w:cs="Times New Roman"/>
        </w:rPr>
        <w:t>tivities of the private parties.</w:t>
      </w:r>
      <w:r w:rsidR="00EC7BE4" w:rsidRPr="00CA6ED6">
        <w:rPr>
          <w:rFonts w:ascii="Times New Roman" w:hAnsi="Times New Roman" w:cs="Times New Roman"/>
        </w:rPr>
        <w:t>”</w:t>
      </w:r>
      <w:r w:rsidR="0036469C">
        <w:rPr>
          <w:rFonts w:ascii="Times New Roman" w:hAnsi="Times New Roman" w:cs="Times New Roman"/>
        </w:rPr>
        <w:t xml:space="preserve"> </w:t>
      </w:r>
      <w:r w:rsidR="006871DB">
        <w:rPr>
          <w:rFonts w:ascii="Times New Roman" w:hAnsi="Times New Roman" w:cs="Times New Roman"/>
        </w:rPr>
        <w:t xml:space="preserve"> </w:t>
      </w:r>
      <w:r w:rsidR="0036469C">
        <w:rPr>
          <w:rFonts w:ascii="Times New Roman" w:hAnsi="Times New Roman" w:cs="Times New Roman"/>
        </w:rPr>
        <w:t>499 F.2d 761, 765 (2</w:t>
      </w:r>
      <w:r w:rsidR="006871DB" w:rsidRPr="006871DB">
        <w:rPr>
          <w:rFonts w:ascii="Times New Roman" w:hAnsi="Times New Roman" w:cs="Times New Roman"/>
          <w:vertAlign w:val="superscript"/>
        </w:rPr>
        <w:t>nd</w:t>
      </w:r>
      <w:r w:rsidR="006871DB">
        <w:rPr>
          <w:rFonts w:ascii="Times New Roman" w:hAnsi="Times New Roman" w:cs="Times New Roman"/>
        </w:rPr>
        <w:t xml:space="preserve"> </w:t>
      </w:r>
      <w:r w:rsidR="0036469C">
        <w:rPr>
          <w:rFonts w:ascii="Times New Roman" w:hAnsi="Times New Roman" w:cs="Times New Roman"/>
        </w:rPr>
        <w:t>Cir. 1974).  T</w:t>
      </w:r>
      <w:r w:rsidR="00EC7BE4" w:rsidRPr="00CA6ED6">
        <w:rPr>
          <w:rFonts w:ascii="Times New Roman" w:hAnsi="Times New Roman" w:cs="Times New Roman"/>
        </w:rPr>
        <w:t>he private foster caregivers were stepping into the shoes of the government</w:t>
      </w:r>
      <w:r w:rsidR="0036469C">
        <w:rPr>
          <w:rFonts w:ascii="Times New Roman" w:hAnsi="Times New Roman" w:cs="Times New Roman"/>
        </w:rPr>
        <w:t>, as “state actors,”</w:t>
      </w:r>
      <w:r w:rsidR="00EC7BE4" w:rsidRPr="00CA6ED6">
        <w:rPr>
          <w:rFonts w:ascii="Times New Roman" w:hAnsi="Times New Roman" w:cs="Times New Roman"/>
        </w:rPr>
        <w:t xml:space="preserve"> and were entitled to state protection. </w:t>
      </w:r>
      <w:r w:rsidR="0036469C">
        <w:rPr>
          <w:rFonts w:ascii="Times New Roman" w:hAnsi="Times New Roman" w:cs="Times New Roman"/>
        </w:rPr>
        <w:t xml:space="preserve"> </w:t>
      </w:r>
      <w:r w:rsidR="0036469C">
        <w:rPr>
          <w:rFonts w:ascii="Times New Roman" w:hAnsi="Times New Roman" w:cs="Times New Roman"/>
          <w:i/>
        </w:rPr>
        <w:t>Id.</w:t>
      </w:r>
      <w:r w:rsidR="0036469C">
        <w:rPr>
          <w:rFonts w:ascii="Times New Roman" w:hAnsi="Times New Roman" w:cs="Times New Roman"/>
        </w:rPr>
        <w:t xml:space="preserve">  If foster parents are performing a “public or governmental” function, and are protected as if they were state employees, their statements should be treated the same as statements by state employees.  </w:t>
      </w:r>
      <w:r w:rsidR="00674CC1">
        <w:rPr>
          <w:rFonts w:ascii="Times New Roman" w:hAnsi="Times New Roman" w:cs="Times New Roman"/>
        </w:rPr>
        <w:t>On this basis, as well</w:t>
      </w:r>
      <w:r w:rsidR="00EC7BE4">
        <w:rPr>
          <w:rFonts w:ascii="Times New Roman" w:hAnsi="Times New Roman" w:cs="Times New Roman"/>
        </w:rPr>
        <w:t xml:space="preserve">, </w:t>
      </w:r>
      <w:r w:rsidR="00395E47">
        <w:rPr>
          <w:rFonts w:ascii="Times New Roman" w:hAnsi="Times New Roman" w:cs="Times New Roman"/>
        </w:rPr>
        <w:t xml:space="preserve">statements by </w:t>
      </w:r>
      <w:r w:rsidR="00EC7BE4">
        <w:rPr>
          <w:rFonts w:ascii="Times New Roman" w:hAnsi="Times New Roman" w:cs="Times New Roman"/>
        </w:rPr>
        <w:t xml:space="preserve">foster parents </w:t>
      </w:r>
      <w:r w:rsidR="00674CC1">
        <w:rPr>
          <w:rFonts w:ascii="Times New Roman" w:hAnsi="Times New Roman" w:cs="Times New Roman"/>
        </w:rPr>
        <w:t>should</w:t>
      </w:r>
      <w:r w:rsidR="00EC7BE4" w:rsidRPr="00CA6ED6">
        <w:rPr>
          <w:rFonts w:ascii="Times New Roman" w:hAnsi="Times New Roman" w:cs="Times New Roman"/>
        </w:rPr>
        <w:t xml:space="preserve"> be </w:t>
      </w:r>
      <w:r w:rsidR="00395E47">
        <w:rPr>
          <w:rFonts w:ascii="Times New Roman" w:hAnsi="Times New Roman" w:cs="Times New Roman"/>
        </w:rPr>
        <w:t>treated as</w:t>
      </w:r>
      <w:r w:rsidR="0036469C">
        <w:rPr>
          <w:rFonts w:ascii="Times New Roman" w:hAnsi="Times New Roman" w:cs="Times New Roman"/>
        </w:rPr>
        <w:t xml:space="preserve"> vicarious admissions when </w:t>
      </w:r>
      <w:r w:rsidR="00395E47">
        <w:rPr>
          <w:rFonts w:ascii="Times New Roman" w:hAnsi="Times New Roman" w:cs="Times New Roman"/>
        </w:rPr>
        <w:t>made</w:t>
      </w:r>
      <w:r w:rsidR="00EC7BE4" w:rsidRPr="00CA6ED6">
        <w:rPr>
          <w:rFonts w:ascii="Times New Roman" w:hAnsi="Times New Roman" w:cs="Times New Roman"/>
        </w:rPr>
        <w:t xml:space="preserve"> withi</w:t>
      </w:r>
      <w:r w:rsidR="0036469C">
        <w:rPr>
          <w:rFonts w:ascii="Times New Roman" w:hAnsi="Times New Roman" w:cs="Times New Roman"/>
        </w:rPr>
        <w:t>n the scope of their work for DCF</w:t>
      </w:r>
      <w:r w:rsidR="00EC7BE4" w:rsidRPr="00CA6ED6">
        <w:rPr>
          <w:rFonts w:ascii="Times New Roman" w:hAnsi="Times New Roman" w:cs="Times New Roman"/>
        </w:rPr>
        <w:t>.</w:t>
      </w:r>
    </w:p>
    <w:p w14:paraId="059D5715" w14:textId="0022784E" w:rsidR="00503DDC" w:rsidRPr="00CA6ED6" w:rsidRDefault="00503DDC" w:rsidP="001F663F">
      <w:pPr>
        <w:spacing w:line="480" w:lineRule="auto"/>
        <w:jc w:val="center"/>
        <w:rPr>
          <w:rFonts w:ascii="Times New Roman" w:hAnsi="Times New Roman" w:cs="Times New Roman"/>
        </w:rPr>
      </w:pPr>
      <w:r w:rsidRPr="0036469C">
        <w:rPr>
          <w:rFonts w:ascii="Times New Roman" w:hAnsi="Times New Roman" w:cs="Times New Roman"/>
          <w:b/>
        </w:rPr>
        <w:t>Conclusion</w:t>
      </w:r>
    </w:p>
    <w:p w14:paraId="64E9B3E9" w14:textId="68730C0C" w:rsidR="00503DDC" w:rsidRDefault="00503DDC" w:rsidP="001F663F">
      <w:pPr>
        <w:spacing w:line="480" w:lineRule="auto"/>
        <w:rPr>
          <w:rFonts w:ascii="Times New Roman" w:hAnsi="Times New Roman" w:cs="Times New Roman"/>
        </w:rPr>
      </w:pPr>
      <w:r w:rsidRPr="00CA6ED6">
        <w:rPr>
          <w:rFonts w:ascii="Times New Roman" w:hAnsi="Times New Roman" w:cs="Times New Roman"/>
        </w:rPr>
        <w:tab/>
      </w:r>
      <w:r w:rsidR="00EC7BE4">
        <w:rPr>
          <w:rFonts w:ascii="Times New Roman" w:hAnsi="Times New Roman" w:cs="Times New Roman"/>
        </w:rPr>
        <w:t xml:space="preserve">DCF </w:t>
      </w:r>
      <w:r w:rsidR="00395E47">
        <w:rPr>
          <w:rFonts w:ascii="Times New Roman" w:hAnsi="Times New Roman" w:cs="Times New Roman"/>
        </w:rPr>
        <w:t>“specialists” such</w:t>
      </w:r>
      <w:r w:rsidR="00EC7BE4">
        <w:rPr>
          <w:rFonts w:ascii="Times New Roman" w:hAnsi="Times New Roman" w:cs="Times New Roman"/>
        </w:rPr>
        <w:t xml:space="preserve"> as Counselor may make vicarious admissions </w:t>
      </w:r>
      <w:r w:rsidR="00674CC1">
        <w:rPr>
          <w:rFonts w:ascii="Times New Roman" w:hAnsi="Times New Roman" w:cs="Times New Roman"/>
        </w:rPr>
        <w:t xml:space="preserve">(when offered by an adverse party against DCF) </w:t>
      </w:r>
      <w:r w:rsidR="00EC7BE4">
        <w:rPr>
          <w:rFonts w:ascii="Times New Roman" w:hAnsi="Times New Roman" w:cs="Times New Roman"/>
        </w:rPr>
        <w:t xml:space="preserve">based on their employment relationship with DCF.  </w:t>
      </w:r>
      <w:r w:rsidR="00395E47">
        <w:rPr>
          <w:rFonts w:ascii="Times New Roman" w:hAnsi="Times New Roman" w:cs="Times New Roman"/>
        </w:rPr>
        <w:t xml:space="preserve">Foster parents are agents of DCF; their statements, too, may be vicarious admissions (when offered by an adverse party against DCF), where the statements are made within the scope of the foster </w:t>
      </w:r>
      <w:r w:rsidR="00395E47">
        <w:rPr>
          <w:rFonts w:ascii="Times New Roman" w:hAnsi="Times New Roman" w:cs="Times New Roman"/>
        </w:rPr>
        <w:lastRenderedPageBreak/>
        <w:t>parents’ work for DCF.  In addition, b</w:t>
      </w:r>
      <w:r w:rsidR="00674CC1">
        <w:rPr>
          <w:rFonts w:ascii="Times New Roman" w:hAnsi="Times New Roman" w:cs="Times New Roman"/>
        </w:rPr>
        <w:t xml:space="preserve">y analogy to </w:t>
      </w:r>
      <w:r w:rsidR="00674CC1" w:rsidRPr="00674CC1">
        <w:rPr>
          <w:rFonts w:ascii="Times New Roman" w:hAnsi="Times New Roman" w:cs="Times New Roman"/>
          <w:i/>
        </w:rPr>
        <w:t>Vidal</w:t>
      </w:r>
      <w:r w:rsidR="00674CC1">
        <w:rPr>
          <w:rFonts w:ascii="Times New Roman" w:hAnsi="Times New Roman" w:cs="Times New Roman"/>
        </w:rPr>
        <w:t>, f</w:t>
      </w:r>
      <w:r w:rsidR="00EC7BE4">
        <w:rPr>
          <w:rFonts w:ascii="Times New Roman" w:hAnsi="Times New Roman" w:cs="Times New Roman"/>
        </w:rPr>
        <w:t>oster parents may make vicarious admissions against DCF</w:t>
      </w:r>
      <w:r w:rsidR="0036469C">
        <w:rPr>
          <w:rFonts w:ascii="Times New Roman" w:hAnsi="Times New Roman" w:cs="Times New Roman"/>
        </w:rPr>
        <w:t xml:space="preserve"> </w:t>
      </w:r>
      <w:r w:rsidR="00674CC1">
        <w:rPr>
          <w:rFonts w:ascii="Times New Roman" w:hAnsi="Times New Roman" w:cs="Times New Roman"/>
        </w:rPr>
        <w:t>because they are doing the work that DCF employees would have to do but for DCF’s decision to contract the work out to a private agency</w:t>
      </w:r>
      <w:r w:rsidR="00EC7BE4">
        <w:rPr>
          <w:rFonts w:ascii="Times New Roman" w:hAnsi="Times New Roman" w:cs="Times New Roman"/>
        </w:rPr>
        <w:t>.</w:t>
      </w:r>
      <w:r w:rsidR="00395E47">
        <w:rPr>
          <w:rFonts w:ascii="Times New Roman" w:hAnsi="Times New Roman" w:cs="Times New Roman"/>
        </w:rPr>
        <w:t xml:space="preserve">  Finally, foster parents are “state actors” who are treated as employees for liability purposes under many circumstances.  As such, their statements as “state actors” should be treated as vicarious admissions against DCF.</w:t>
      </w:r>
    </w:p>
    <w:p w14:paraId="20A20460" w14:textId="028E8C74" w:rsidR="00395E47" w:rsidRPr="00CA6ED6" w:rsidRDefault="00395E47" w:rsidP="00395E47">
      <w:pPr>
        <w:spacing w:line="480" w:lineRule="auto"/>
        <w:ind w:firstLine="720"/>
        <w:rPr>
          <w:rFonts w:ascii="Times New Roman" w:hAnsi="Times New Roman" w:cs="Times New Roman"/>
        </w:rPr>
      </w:pPr>
      <w:r>
        <w:rPr>
          <w:rFonts w:ascii="Times New Roman" w:hAnsi="Times New Roman" w:cs="Times New Roman"/>
        </w:rPr>
        <w:t>In this case, all statements by Counselor to Social Worker and by Foster Parent to Social Worker are admissible against DCF when offered by Mother.</w:t>
      </w:r>
    </w:p>
    <w:sectPr w:rsidR="00395E47" w:rsidRPr="00CA6ED6" w:rsidSect="00CA6ED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65C6" w14:textId="77777777" w:rsidR="0036469C" w:rsidRDefault="0036469C" w:rsidP="00CA6ED6">
      <w:r>
        <w:separator/>
      </w:r>
    </w:p>
  </w:endnote>
  <w:endnote w:type="continuationSeparator" w:id="0">
    <w:p w14:paraId="7A78254C" w14:textId="77777777" w:rsidR="0036469C" w:rsidRDefault="0036469C" w:rsidP="00CA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2A2F" w14:textId="77777777" w:rsidR="0036469C" w:rsidRDefault="0036469C" w:rsidP="006F64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B875E3" w14:textId="77777777" w:rsidR="0036469C" w:rsidRDefault="00364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160A8" w14:textId="77777777" w:rsidR="0036469C" w:rsidRPr="00CA6ED6" w:rsidRDefault="0036469C" w:rsidP="006F643F">
    <w:pPr>
      <w:pStyle w:val="Footer"/>
      <w:framePr w:wrap="around" w:vAnchor="text" w:hAnchor="margin" w:xAlign="center" w:y="1"/>
      <w:rPr>
        <w:rStyle w:val="PageNumber"/>
        <w:rFonts w:ascii="Times New Roman" w:hAnsi="Times New Roman" w:cs="Times New Roman"/>
      </w:rPr>
    </w:pPr>
    <w:r w:rsidRPr="00CA6ED6">
      <w:rPr>
        <w:rStyle w:val="PageNumber"/>
        <w:rFonts w:ascii="Times New Roman" w:hAnsi="Times New Roman" w:cs="Times New Roman"/>
      </w:rPr>
      <w:fldChar w:fldCharType="begin"/>
    </w:r>
    <w:r w:rsidRPr="00CA6ED6">
      <w:rPr>
        <w:rStyle w:val="PageNumber"/>
        <w:rFonts w:ascii="Times New Roman" w:hAnsi="Times New Roman" w:cs="Times New Roman"/>
      </w:rPr>
      <w:instrText xml:space="preserve">PAGE  </w:instrText>
    </w:r>
    <w:r w:rsidRPr="00CA6ED6">
      <w:rPr>
        <w:rStyle w:val="PageNumber"/>
        <w:rFonts w:ascii="Times New Roman" w:hAnsi="Times New Roman" w:cs="Times New Roman"/>
      </w:rPr>
      <w:fldChar w:fldCharType="separate"/>
    </w:r>
    <w:r w:rsidR="002121C4">
      <w:rPr>
        <w:rStyle w:val="PageNumber"/>
        <w:rFonts w:ascii="Times New Roman" w:hAnsi="Times New Roman" w:cs="Times New Roman"/>
        <w:noProof/>
      </w:rPr>
      <w:t>1</w:t>
    </w:r>
    <w:r w:rsidRPr="00CA6ED6">
      <w:rPr>
        <w:rStyle w:val="PageNumber"/>
        <w:rFonts w:ascii="Times New Roman" w:hAnsi="Times New Roman" w:cs="Times New Roman"/>
      </w:rPr>
      <w:fldChar w:fldCharType="end"/>
    </w:r>
  </w:p>
  <w:p w14:paraId="53F1C9A3" w14:textId="77777777" w:rsidR="0036469C" w:rsidRPr="00CA6ED6" w:rsidRDefault="0036469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F7F08" w14:textId="77777777" w:rsidR="0036469C" w:rsidRDefault="0036469C" w:rsidP="00CA6ED6">
      <w:r>
        <w:separator/>
      </w:r>
    </w:p>
  </w:footnote>
  <w:footnote w:type="continuationSeparator" w:id="0">
    <w:p w14:paraId="5A51A7E5" w14:textId="77777777" w:rsidR="0036469C" w:rsidRDefault="0036469C" w:rsidP="00CA6ED6">
      <w:r>
        <w:continuationSeparator/>
      </w:r>
    </w:p>
  </w:footnote>
  <w:footnote w:id="1">
    <w:p w14:paraId="7E27169D" w14:textId="74D0CCE1" w:rsidR="006871DB" w:rsidRPr="006871DB" w:rsidRDefault="006871DB" w:rsidP="006871DB">
      <w:pPr>
        <w:pStyle w:val="FootnoteText"/>
        <w:ind w:firstLine="720"/>
        <w:rPr>
          <w:rFonts w:ascii="Times New Roman" w:hAnsi="Times New Roman" w:cs="Times New Roman"/>
        </w:rPr>
      </w:pPr>
      <w:r w:rsidRPr="006871DB">
        <w:rPr>
          <w:rStyle w:val="FootnoteReference"/>
          <w:rFonts w:ascii="Times New Roman" w:hAnsi="Times New Roman" w:cs="Times New Roman"/>
        </w:rPr>
        <w:footnoteRef/>
      </w:r>
      <w:r w:rsidRPr="006871DB">
        <w:rPr>
          <w:rFonts w:ascii="Times New Roman" w:hAnsi="Times New Roman" w:cs="Times New Roman"/>
        </w:rPr>
        <w:t xml:space="preserve"> Moreover, to ensure that foster parents do their jobs well and safely, DCF intensely regulates them.   </w:t>
      </w:r>
      <w:r w:rsidRPr="006871DB">
        <w:rPr>
          <w:rFonts w:ascii="Times New Roman" w:hAnsi="Times New Roman" w:cs="Times New Roman"/>
          <w:i/>
        </w:rPr>
        <w:t>See, e.g.,</w:t>
      </w:r>
      <w:r w:rsidRPr="006871DB">
        <w:rPr>
          <w:rFonts w:ascii="Times New Roman" w:hAnsi="Times New Roman" w:cs="Times New Roman"/>
        </w:rPr>
        <w:t xml:space="preserve"> 110 CMR 7.100 (discussing eligibility of foster parents); 110 CMR 7.104 (providing standards for foster parent licensure); 110 CMR 7.106E (permitting limitations and regulations of contracted foster parents); 110 CMR 7.107 (explaining assessment and licensure of foster parents).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A8"/>
    <w:rsid w:val="00001258"/>
    <w:rsid w:val="00057C48"/>
    <w:rsid w:val="00063DC1"/>
    <w:rsid w:val="00091F05"/>
    <w:rsid w:val="000A3323"/>
    <w:rsid w:val="000B20AF"/>
    <w:rsid w:val="000B588A"/>
    <w:rsid w:val="000E2B01"/>
    <w:rsid w:val="00103105"/>
    <w:rsid w:val="00127151"/>
    <w:rsid w:val="0013422E"/>
    <w:rsid w:val="001B74B4"/>
    <w:rsid w:val="001B75A0"/>
    <w:rsid w:val="001D23B7"/>
    <w:rsid w:val="001F663F"/>
    <w:rsid w:val="002121C4"/>
    <w:rsid w:val="002C53ED"/>
    <w:rsid w:val="00300391"/>
    <w:rsid w:val="00333116"/>
    <w:rsid w:val="0036469C"/>
    <w:rsid w:val="00386DA4"/>
    <w:rsid w:val="00395E47"/>
    <w:rsid w:val="004677EA"/>
    <w:rsid w:val="004D7E4C"/>
    <w:rsid w:val="004F27B0"/>
    <w:rsid w:val="00501367"/>
    <w:rsid w:val="00503DDC"/>
    <w:rsid w:val="0050517C"/>
    <w:rsid w:val="00510D48"/>
    <w:rsid w:val="0053028C"/>
    <w:rsid w:val="00552CD4"/>
    <w:rsid w:val="0055407F"/>
    <w:rsid w:val="005A57C7"/>
    <w:rsid w:val="0063344D"/>
    <w:rsid w:val="00651DC6"/>
    <w:rsid w:val="00674CC1"/>
    <w:rsid w:val="006871DB"/>
    <w:rsid w:val="00690B29"/>
    <w:rsid w:val="006A630E"/>
    <w:rsid w:val="006B4447"/>
    <w:rsid w:val="006C4C57"/>
    <w:rsid w:val="006E176A"/>
    <w:rsid w:val="006E4DE9"/>
    <w:rsid w:val="006F643F"/>
    <w:rsid w:val="00767C8F"/>
    <w:rsid w:val="00777DAA"/>
    <w:rsid w:val="007D1345"/>
    <w:rsid w:val="007D1C8F"/>
    <w:rsid w:val="007E52F0"/>
    <w:rsid w:val="008121DD"/>
    <w:rsid w:val="00854909"/>
    <w:rsid w:val="008859F0"/>
    <w:rsid w:val="008A44BF"/>
    <w:rsid w:val="008B1A89"/>
    <w:rsid w:val="008F658C"/>
    <w:rsid w:val="009235A7"/>
    <w:rsid w:val="009343E4"/>
    <w:rsid w:val="009F4C45"/>
    <w:rsid w:val="00A1112F"/>
    <w:rsid w:val="00A4533D"/>
    <w:rsid w:val="00A52FAA"/>
    <w:rsid w:val="00A75C38"/>
    <w:rsid w:val="00A948D4"/>
    <w:rsid w:val="00AA54E7"/>
    <w:rsid w:val="00AF4080"/>
    <w:rsid w:val="00B92414"/>
    <w:rsid w:val="00BB1811"/>
    <w:rsid w:val="00C00D4B"/>
    <w:rsid w:val="00C043C4"/>
    <w:rsid w:val="00C459B6"/>
    <w:rsid w:val="00C57E87"/>
    <w:rsid w:val="00C61EA6"/>
    <w:rsid w:val="00C6337A"/>
    <w:rsid w:val="00C658C3"/>
    <w:rsid w:val="00C8216B"/>
    <w:rsid w:val="00CA19E5"/>
    <w:rsid w:val="00CA6ED6"/>
    <w:rsid w:val="00CB6BA3"/>
    <w:rsid w:val="00CE2A40"/>
    <w:rsid w:val="00D15D86"/>
    <w:rsid w:val="00D86EDB"/>
    <w:rsid w:val="00E50136"/>
    <w:rsid w:val="00EC0CB1"/>
    <w:rsid w:val="00EC7BE4"/>
    <w:rsid w:val="00EE248D"/>
    <w:rsid w:val="00F73B1E"/>
    <w:rsid w:val="00FC3881"/>
    <w:rsid w:val="00FD49E7"/>
    <w:rsid w:val="00FD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8A4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6ED6"/>
    <w:pPr>
      <w:tabs>
        <w:tab w:val="center" w:pos="4320"/>
        <w:tab w:val="right" w:pos="8640"/>
      </w:tabs>
    </w:pPr>
  </w:style>
  <w:style w:type="character" w:customStyle="1" w:styleId="FooterChar">
    <w:name w:val="Footer Char"/>
    <w:basedOn w:val="DefaultParagraphFont"/>
    <w:link w:val="Footer"/>
    <w:uiPriority w:val="99"/>
    <w:rsid w:val="00CA6ED6"/>
  </w:style>
  <w:style w:type="character" w:styleId="PageNumber">
    <w:name w:val="page number"/>
    <w:basedOn w:val="DefaultParagraphFont"/>
    <w:uiPriority w:val="99"/>
    <w:semiHidden/>
    <w:unhideWhenUsed/>
    <w:rsid w:val="00CA6ED6"/>
  </w:style>
  <w:style w:type="paragraph" w:styleId="Header">
    <w:name w:val="header"/>
    <w:basedOn w:val="Normal"/>
    <w:link w:val="HeaderChar"/>
    <w:uiPriority w:val="99"/>
    <w:unhideWhenUsed/>
    <w:rsid w:val="00CA6ED6"/>
    <w:pPr>
      <w:tabs>
        <w:tab w:val="center" w:pos="4320"/>
        <w:tab w:val="right" w:pos="8640"/>
      </w:tabs>
    </w:pPr>
  </w:style>
  <w:style w:type="character" w:customStyle="1" w:styleId="HeaderChar">
    <w:name w:val="Header Char"/>
    <w:basedOn w:val="DefaultParagraphFont"/>
    <w:link w:val="Header"/>
    <w:uiPriority w:val="99"/>
    <w:rsid w:val="00CA6ED6"/>
  </w:style>
  <w:style w:type="character" w:styleId="CommentReference">
    <w:name w:val="annotation reference"/>
    <w:basedOn w:val="DefaultParagraphFont"/>
    <w:uiPriority w:val="99"/>
    <w:semiHidden/>
    <w:unhideWhenUsed/>
    <w:rsid w:val="006F643F"/>
    <w:rPr>
      <w:sz w:val="18"/>
      <w:szCs w:val="18"/>
    </w:rPr>
  </w:style>
  <w:style w:type="paragraph" w:styleId="CommentText">
    <w:name w:val="annotation text"/>
    <w:basedOn w:val="Normal"/>
    <w:link w:val="CommentTextChar"/>
    <w:uiPriority w:val="99"/>
    <w:semiHidden/>
    <w:unhideWhenUsed/>
    <w:rsid w:val="006F643F"/>
  </w:style>
  <w:style w:type="character" w:customStyle="1" w:styleId="CommentTextChar">
    <w:name w:val="Comment Text Char"/>
    <w:basedOn w:val="DefaultParagraphFont"/>
    <w:link w:val="CommentText"/>
    <w:uiPriority w:val="99"/>
    <w:semiHidden/>
    <w:rsid w:val="006F643F"/>
  </w:style>
  <w:style w:type="paragraph" w:styleId="CommentSubject">
    <w:name w:val="annotation subject"/>
    <w:basedOn w:val="CommentText"/>
    <w:next w:val="CommentText"/>
    <w:link w:val="CommentSubjectChar"/>
    <w:uiPriority w:val="99"/>
    <w:semiHidden/>
    <w:unhideWhenUsed/>
    <w:rsid w:val="006F643F"/>
    <w:rPr>
      <w:b/>
      <w:bCs/>
      <w:sz w:val="20"/>
      <w:szCs w:val="20"/>
    </w:rPr>
  </w:style>
  <w:style w:type="character" w:customStyle="1" w:styleId="CommentSubjectChar">
    <w:name w:val="Comment Subject Char"/>
    <w:basedOn w:val="CommentTextChar"/>
    <w:link w:val="CommentSubject"/>
    <w:uiPriority w:val="99"/>
    <w:semiHidden/>
    <w:rsid w:val="006F643F"/>
    <w:rPr>
      <w:b/>
      <w:bCs/>
      <w:sz w:val="20"/>
      <w:szCs w:val="20"/>
    </w:rPr>
  </w:style>
  <w:style w:type="paragraph" w:styleId="BalloonText">
    <w:name w:val="Balloon Text"/>
    <w:basedOn w:val="Normal"/>
    <w:link w:val="BalloonTextChar"/>
    <w:uiPriority w:val="99"/>
    <w:semiHidden/>
    <w:unhideWhenUsed/>
    <w:rsid w:val="006F64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43F"/>
    <w:rPr>
      <w:rFonts w:ascii="Lucida Grande" w:hAnsi="Lucida Grande" w:cs="Lucida Grande"/>
      <w:sz w:val="18"/>
      <w:szCs w:val="18"/>
    </w:rPr>
  </w:style>
  <w:style w:type="paragraph" w:styleId="FootnoteText">
    <w:name w:val="footnote text"/>
    <w:basedOn w:val="Normal"/>
    <w:link w:val="FootnoteTextChar"/>
    <w:uiPriority w:val="99"/>
    <w:unhideWhenUsed/>
    <w:rsid w:val="00C57E87"/>
  </w:style>
  <w:style w:type="character" w:customStyle="1" w:styleId="FootnoteTextChar">
    <w:name w:val="Footnote Text Char"/>
    <w:basedOn w:val="DefaultParagraphFont"/>
    <w:link w:val="FootnoteText"/>
    <w:uiPriority w:val="99"/>
    <w:rsid w:val="00C57E87"/>
  </w:style>
  <w:style w:type="character" w:styleId="FootnoteReference">
    <w:name w:val="footnote reference"/>
    <w:basedOn w:val="DefaultParagraphFont"/>
    <w:uiPriority w:val="99"/>
    <w:unhideWhenUsed/>
    <w:rsid w:val="00C57E87"/>
    <w:rPr>
      <w:vertAlign w:val="superscript"/>
    </w:rPr>
  </w:style>
  <w:style w:type="character" w:customStyle="1" w:styleId="ssleftalign">
    <w:name w:val="ss_leftalign"/>
    <w:basedOn w:val="DefaultParagraphFont"/>
    <w:rsid w:val="00777DAA"/>
  </w:style>
  <w:style w:type="character" w:customStyle="1" w:styleId="ssrfcpassagedeactivated">
    <w:name w:val="ss_rfcpassage_deactivated"/>
    <w:basedOn w:val="DefaultParagraphFont"/>
    <w:rsid w:val="00777DAA"/>
  </w:style>
  <w:style w:type="character" w:styleId="Hyperlink">
    <w:name w:val="Hyperlink"/>
    <w:basedOn w:val="DefaultParagraphFont"/>
    <w:uiPriority w:val="99"/>
    <w:semiHidden/>
    <w:unhideWhenUsed/>
    <w:rsid w:val="00777DAA"/>
    <w:rPr>
      <w:color w:val="0000FF"/>
      <w:u w:val="single"/>
    </w:rPr>
  </w:style>
  <w:style w:type="character" w:customStyle="1" w:styleId="sssh">
    <w:name w:val="ss_sh"/>
    <w:basedOn w:val="DefaultParagraphFont"/>
    <w:rsid w:val="00777DAA"/>
  </w:style>
  <w:style w:type="character" w:customStyle="1" w:styleId="ssun">
    <w:name w:val="ss_un"/>
    <w:basedOn w:val="DefaultParagraphFont"/>
    <w:rsid w:val="00777DAA"/>
  </w:style>
  <w:style w:type="character" w:customStyle="1" w:styleId="sspagshow">
    <w:name w:val="ss_pag_show"/>
    <w:basedOn w:val="DefaultParagraphFont"/>
    <w:rsid w:val="00777DAA"/>
  </w:style>
  <w:style w:type="character" w:customStyle="1" w:styleId="ssit">
    <w:name w:val="ss_it"/>
    <w:basedOn w:val="DefaultParagraphFont"/>
    <w:rsid w:val="006A6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6ED6"/>
    <w:pPr>
      <w:tabs>
        <w:tab w:val="center" w:pos="4320"/>
        <w:tab w:val="right" w:pos="8640"/>
      </w:tabs>
    </w:pPr>
  </w:style>
  <w:style w:type="character" w:customStyle="1" w:styleId="FooterChar">
    <w:name w:val="Footer Char"/>
    <w:basedOn w:val="DefaultParagraphFont"/>
    <w:link w:val="Footer"/>
    <w:uiPriority w:val="99"/>
    <w:rsid w:val="00CA6ED6"/>
  </w:style>
  <w:style w:type="character" w:styleId="PageNumber">
    <w:name w:val="page number"/>
    <w:basedOn w:val="DefaultParagraphFont"/>
    <w:uiPriority w:val="99"/>
    <w:semiHidden/>
    <w:unhideWhenUsed/>
    <w:rsid w:val="00CA6ED6"/>
  </w:style>
  <w:style w:type="paragraph" w:styleId="Header">
    <w:name w:val="header"/>
    <w:basedOn w:val="Normal"/>
    <w:link w:val="HeaderChar"/>
    <w:uiPriority w:val="99"/>
    <w:unhideWhenUsed/>
    <w:rsid w:val="00CA6ED6"/>
    <w:pPr>
      <w:tabs>
        <w:tab w:val="center" w:pos="4320"/>
        <w:tab w:val="right" w:pos="8640"/>
      </w:tabs>
    </w:pPr>
  </w:style>
  <w:style w:type="character" w:customStyle="1" w:styleId="HeaderChar">
    <w:name w:val="Header Char"/>
    <w:basedOn w:val="DefaultParagraphFont"/>
    <w:link w:val="Header"/>
    <w:uiPriority w:val="99"/>
    <w:rsid w:val="00CA6ED6"/>
  </w:style>
  <w:style w:type="character" w:styleId="CommentReference">
    <w:name w:val="annotation reference"/>
    <w:basedOn w:val="DefaultParagraphFont"/>
    <w:uiPriority w:val="99"/>
    <w:semiHidden/>
    <w:unhideWhenUsed/>
    <w:rsid w:val="006F643F"/>
    <w:rPr>
      <w:sz w:val="18"/>
      <w:szCs w:val="18"/>
    </w:rPr>
  </w:style>
  <w:style w:type="paragraph" w:styleId="CommentText">
    <w:name w:val="annotation text"/>
    <w:basedOn w:val="Normal"/>
    <w:link w:val="CommentTextChar"/>
    <w:uiPriority w:val="99"/>
    <w:semiHidden/>
    <w:unhideWhenUsed/>
    <w:rsid w:val="006F643F"/>
  </w:style>
  <w:style w:type="character" w:customStyle="1" w:styleId="CommentTextChar">
    <w:name w:val="Comment Text Char"/>
    <w:basedOn w:val="DefaultParagraphFont"/>
    <w:link w:val="CommentText"/>
    <w:uiPriority w:val="99"/>
    <w:semiHidden/>
    <w:rsid w:val="006F643F"/>
  </w:style>
  <w:style w:type="paragraph" w:styleId="CommentSubject">
    <w:name w:val="annotation subject"/>
    <w:basedOn w:val="CommentText"/>
    <w:next w:val="CommentText"/>
    <w:link w:val="CommentSubjectChar"/>
    <w:uiPriority w:val="99"/>
    <w:semiHidden/>
    <w:unhideWhenUsed/>
    <w:rsid w:val="006F643F"/>
    <w:rPr>
      <w:b/>
      <w:bCs/>
      <w:sz w:val="20"/>
      <w:szCs w:val="20"/>
    </w:rPr>
  </w:style>
  <w:style w:type="character" w:customStyle="1" w:styleId="CommentSubjectChar">
    <w:name w:val="Comment Subject Char"/>
    <w:basedOn w:val="CommentTextChar"/>
    <w:link w:val="CommentSubject"/>
    <w:uiPriority w:val="99"/>
    <w:semiHidden/>
    <w:rsid w:val="006F643F"/>
    <w:rPr>
      <w:b/>
      <w:bCs/>
      <w:sz w:val="20"/>
      <w:szCs w:val="20"/>
    </w:rPr>
  </w:style>
  <w:style w:type="paragraph" w:styleId="BalloonText">
    <w:name w:val="Balloon Text"/>
    <w:basedOn w:val="Normal"/>
    <w:link w:val="BalloonTextChar"/>
    <w:uiPriority w:val="99"/>
    <w:semiHidden/>
    <w:unhideWhenUsed/>
    <w:rsid w:val="006F64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43F"/>
    <w:rPr>
      <w:rFonts w:ascii="Lucida Grande" w:hAnsi="Lucida Grande" w:cs="Lucida Grande"/>
      <w:sz w:val="18"/>
      <w:szCs w:val="18"/>
    </w:rPr>
  </w:style>
  <w:style w:type="paragraph" w:styleId="FootnoteText">
    <w:name w:val="footnote text"/>
    <w:basedOn w:val="Normal"/>
    <w:link w:val="FootnoteTextChar"/>
    <w:uiPriority w:val="99"/>
    <w:unhideWhenUsed/>
    <w:rsid w:val="00C57E87"/>
  </w:style>
  <w:style w:type="character" w:customStyle="1" w:styleId="FootnoteTextChar">
    <w:name w:val="Footnote Text Char"/>
    <w:basedOn w:val="DefaultParagraphFont"/>
    <w:link w:val="FootnoteText"/>
    <w:uiPriority w:val="99"/>
    <w:rsid w:val="00C57E87"/>
  </w:style>
  <w:style w:type="character" w:styleId="FootnoteReference">
    <w:name w:val="footnote reference"/>
    <w:basedOn w:val="DefaultParagraphFont"/>
    <w:uiPriority w:val="99"/>
    <w:unhideWhenUsed/>
    <w:rsid w:val="00C57E87"/>
    <w:rPr>
      <w:vertAlign w:val="superscript"/>
    </w:rPr>
  </w:style>
  <w:style w:type="character" w:customStyle="1" w:styleId="ssleftalign">
    <w:name w:val="ss_leftalign"/>
    <w:basedOn w:val="DefaultParagraphFont"/>
    <w:rsid w:val="00777DAA"/>
  </w:style>
  <w:style w:type="character" w:customStyle="1" w:styleId="ssrfcpassagedeactivated">
    <w:name w:val="ss_rfcpassage_deactivated"/>
    <w:basedOn w:val="DefaultParagraphFont"/>
    <w:rsid w:val="00777DAA"/>
  </w:style>
  <w:style w:type="character" w:styleId="Hyperlink">
    <w:name w:val="Hyperlink"/>
    <w:basedOn w:val="DefaultParagraphFont"/>
    <w:uiPriority w:val="99"/>
    <w:semiHidden/>
    <w:unhideWhenUsed/>
    <w:rsid w:val="00777DAA"/>
    <w:rPr>
      <w:color w:val="0000FF"/>
      <w:u w:val="single"/>
    </w:rPr>
  </w:style>
  <w:style w:type="character" w:customStyle="1" w:styleId="sssh">
    <w:name w:val="ss_sh"/>
    <w:basedOn w:val="DefaultParagraphFont"/>
    <w:rsid w:val="00777DAA"/>
  </w:style>
  <w:style w:type="character" w:customStyle="1" w:styleId="ssun">
    <w:name w:val="ss_un"/>
    <w:basedOn w:val="DefaultParagraphFont"/>
    <w:rsid w:val="00777DAA"/>
  </w:style>
  <w:style w:type="character" w:customStyle="1" w:styleId="sspagshow">
    <w:name w:val="ss_pag_show"/>
    <w:basedOn w:val="DefaultParagraphFont"/>
    <w:rsid w:val="00777DAA"/>
  </w:style>
  <w:style w:type="character" w:customStyle="1" w:styleId="ssit">
    <w:name w:val="ss_it"/>
    <w:basedOn w:val="DefaultParagraphFont"/>
    <w:rsid w:val="006A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document/documentlink/?pdmfid=1000516&amp;crid=c0333b9d-47e6-49c3-8646-5deae274475e&amp;pddocfullpath=%2Fshared%2Fdocument%2Fcases%2Furn%3AcontentItem%3A48V2-4SK0-0039-40V8-00000-00&amp;pdpinpoint=PAGE_339_3213&amp;pdcontentcomponentid=7682&amp;pddoctitle=Thorell+v.+ADAP%2C+Inc.%2C+58+Mass.+App.+Ct.+334%2C+339%2C+789+N.E.2d+1086+%282003%29&amp;ecomp=49vfk&amp;prid=c4fe10cc-9ab8-4f92-b901-0301569bc20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7026-7E76-4837-A291-A91CDCA2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10613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Shute</dc:creator>
  <cp:lastModifiedBy>Jaime Prince</cp:lastModifiedBy>
  <cp:revision>2</cp:revision>
  <dcterms:created xsi:type="dcterms:W3CDTF">2015-12-29T14:55:00Z</dcterms:created>
  <dcterms:modified xsi:type="dcterms:W3CDTF">2015-12-29T14:55:00Z</dcterms:modified>
</cp:coreProperties>
</file>