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0" w:rsidRDefault="00AC30A0" w:rsidP="00AC30A0">
      <w:pPr>
        <w:jc w:val="center"/>
        <w:rPr>
          <w:b/>
          <w:i/>
          <w:sz w:val="40"/>
        </w:rPr>
      </w:pPr>
      <w:bookmarkStart w:id="0" w:name="_GoBack"/>
      <w:bookmarkEnd w:id="0"/>
      <w:r>
        <w:rPr>
          <w:b/>
          <w:i/>
          <w:sz w:val="40"/>
        </w:rPr>
        <w:t>Committee for Public Counsel Services</w:t>
      </w:r>
    </w:p>
    <w:p w:rsidR="00AC30A0" w:rsidRDefault="00AC30A0" w:rsidP="00AC30A0">
      <w:pPr>
        <w:jc w:val="center"/>
        <w:rPr>
          <w:i/>
        </w:rPr>
      </w:pPr>
      <w:r>
        <w:rPr>
          <w:b/>
          <w:i/>
          <w:sz w:val="40"/>
        </w:rPr>
        <w:t>Children and Family Law Division</w:t>
      </w:r>
    </w:p>
    <w:p w:rsidR="00AC30A0" w:rsidRDefault="00AC30A0" w:rsidP="00AC30A0">
      <w:pPr>
        <w:jc w:val="center"/>
        <w:rPr>
          <w:i/>
        </w:rPr>
      </w:pPr>
      <w:smartTag w:uri="urn:schemas-microsoft-com:office:smarttags" w:element="address">
        <w:smartTag w:uri="urn:schemas-microsoft-com:office:smarttags" w:element="Street">
          <w:r>
            <w:rPr>
              <w:i/>
            </w:rPr>
            <w:t>44 Bromfield Street</w:t>
          </w:r>
        </w:smartTag>
        <w:r>
          <w:rPr>
            <w:i/>
          </w:rPr>
          <w:t xml:space="preserve">, </w:t>
        </w:r>
        <w:smartTag w:uri="urn:schemas-microsoft-com:office:smarttags" w:element="City">
          <w:r>
            <w:rPr>
              <w:i/>
            </w:rPr>
            <w:t>Boston</w:t>
          </w:r>
        </w:smartTag>
        <w:r>
          <w:rPr>
            <w:i/>
          </w:rPr>
          <w:t xml:space="preserve">, </w:t>
        </w:r>
        <w:smartTag w:uri="urn:schemas-microsoft-com:office:smarttags" w:element="State">
          <w:r>
            <w:rPr>
              <w:i/>
            </w:rPr>
            <w:t>MA</w:t>
          </w:r>
        </w:smartTag>
        <w:r>
          <w:rPr>
            <w:i/>
          </w:rPr>
          <w:t xml:space="preserve"> </w:t>
        </w:r>
        <w:smartTag w:uri="urn:schemas-microsoft-com:office:smarttags" w:element="PostalCode">
          <w:r>
            <w:rPr>
              <w:i/>
            </w:rPr>
            <w:t>02108</w:t>
          </w:r>
        </w:smartTag>
      </w:smartTag>
    </w:p>
    <w:p w:rsidR="00AC30A0" w:rsidRDefault="00AC30A0" w:rsidP="00AC30A0">
      <w:pPr>
        <w:jc w:val="center"/>
      </w:pPr>
      <w:r>
        <w:rPr>
          <w:i/>
        </w:rPr>
        <w:t>Phone: (617) 482-6212, Fax: (617) 988-8455</w:t>
      </w:r>
    </w:p>
    <w:p w:rsidR="00AC30A0" w:rsidRDefault="00AC30A0" w:rsidP="00AC30A0">
      <w:r>
        <w:tab/>
      </w:r>
      <w:r>
        <w:tab/>
      </w:r>
      <w:r>
        <w:tab/>
      </w:r>
    </w:p>
    <w:p w:rsidR="00AC30A0" w:rsidRPr="00201DF5" w:rsidRDefault="00201DF5" w:rsidP="00AC30A0">
      <w:pPr>
        <w:jc w:val="center"/>
        <w:rPr>
          <w:b/>
          <w:sz w:val="30"/>
        </w:rPr>
      </w:pPr>
      <w:r w:rsidRPr="00201DF5">
        <w:rPr>
          <w:b/>
          <w:sz w:val="30"/>
        </w:rPr>
        <w:t>APPELLATE BULLETIN</w:t>
      </w:r>
    </w:p>
    <w:p w:rsidR="00AC30A0" w:rsidRDefault="00AC30A0" w:rsidP="00AC30A0">
      <w:pPr>
        <w:jc w:val="center"/>
        <w:rPr>
          <w:b/>
        </w:rPr>
      </w:pPr>
    </w:p>
    <w:p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rsidR="00AC30A0" w:rsidRDefault="00AC30A0" w:rsidP="00AC30A0">
      <w:pPr>
        <w:ind w:left="720" w:right="720" w:hanging="720"/>
        <w:rPr>
          <w:szCs w:val="24"/>
        </w:rPr>
      </w:pPr>
      <w:r>
        <w:rPr>
          <w:szCs w:val="24"/>
        </w:rPr>
        <w:t>cc:</w:t>
      </w:r>
      <w:r>
        <w:rPr>
          <w:szCs w:val="24"/>
        </w:rPr>
        <w:tab/>
        <w:t>CAFL Trial Panel Members</w:t>
      </w:r>
    </w:p>
    <w:p w:rsidR="00AC30A0" w:rsidRDefault="00AC30A0" w:rsidP="00AC30A0">
      <w:pPr>
        <w:ind w:left="720" w:right="720"/>
        <w:rPr>
          <w:szCs w:val="24"/>
        </w:rPr>
      </w:pPr>
      <w:r>
        <w:rPr>
          <w:szCs w:val="24"/>
        </w:rPr>
        <w:t>CAFL Administrative Attorneys</w:t>
      </w:r>
    </w:p>
    <w:p w:rsidR="00AC30A0" w:rsidRDefault="00AC30A0" w:rsidP="00034B3A">
      <w:pPr>
        <w:ind w:left="720" w:right="720" w:hanging="720"/>
        <w:rPr>
          <w:szCs w:val="24"/>
        </w:rPr>
      </w:pPr>
      <w:proofErr w:type="spellStart"/>
      <w:r w:rsidRPr="00045951">
        <w:rPr>
          <w:szCs w:val="24"/>
        </w:rPr>
        <w:t>Fr</w:t>
      </w:r>
      <w:proofErr w:type="spellEnd"/>
      <w:r w:rsidRPr="00045951">
        <w:rPr>
          <w:szCs w:val="24"/>
        </w:rPr>
        <w:t>:</w:t>
      </w:r>
      <w:r w:rsidRPr="00045951">
        <w:rPr>
          <w:szCs w:val="24"/>
        </w:rPr>
        <w:tab/>
        <w:t xml:space="preserve">Andrew Cohen, Director of </w:t>
      </w:r>
      <w:r w:rsidR="00952269">
        <w:rPr>
          <w:szCs w:val="24"/>
        </w:rPr>
        <w:t>Appellate Panel</w:t>
      </w:r>
      <w:r w:rsidRPr="00045951">
        <w:rPr>
          <w:szCs w:val="24"/>
        </w:rPr>
        <w:t xml:space="preserve">, CPCS/CAFL </w:t>
      </w:r>
      <w:r>
        <w:rPr>
          <w:szCs w:val="24"/>
        </w:rPr>
        <w:t>Division</w:t>
      </w:r>
    </w:p>
    <w:p w:rsidR="00952269" w:rsidRDefault="00952269" w:rsidP="00AC30A0">
      <w:pPr>
        <w:ind w:right="720"/>
        <w:rPr>
          <w:szCs w:val="24"/>
        </w:rPr>
      </w:pPr>
      <w:r>
        <w:rPr>
          <w:szCs w:val="24"/>
        </w:rPr>
        <w:tab/>
        <w:t>Jaime Prince, Staff Attorney, CAFL</w:t>
      </w:r>
    </w:p>
    <w:p w:rsidR="00220ADD" w:rsidRDefault="00220ADD" w:rsidP="00AC30A0">
      <w:pPr>
        <w:ind w:right="720"/>
        <w:rPr>
          <w:szCs w:val="24"/>
        </w:rPr>
      </w:pPr>
      <w:r>
        <w:rPr>
          <w:szCs w:val="24"/>
        </w:rPr>
        <w:tab/>
        <w:t>Mimi Wong, Staff Attorney, CAFL</w:t>
      </w:r>
    </w:p>
    <w:p w:rsidR="00D65782" w:rsidRDefault="00AC30A0" w:rsidP="003A441B">
      <w:pPr>
        <w:ind w:right="720"/>
        <w:rPr>
          <w:szCs w:val="24"/>
        </w:rPr>
      </w:pPr>
      <w:r w:rsidRPr="00045951">
        <w:rPr>
          <w:szCs w:val="24"/>
        </w:rPr>
        <w:t>Re:</w:t>
      </w:r>
      <w:r w:rsidRPr="00045951">
        <w:rPr>
          <w:szCs w:val="24"/>
        </w:rPr>
        <w:tab/>
      </w:r>
      <w:r w:rsidR="00D65782">
        <w:rPr>
          <w:szCs w:val="24"/>
        </w:rPr>
        <w:t>Administrative Matters</w:t>
      </w:r>
    </w:p>
    <w:p w:rsidR="00AC30A0" w:rsidRDefault="00AA66BF" w:rsidP="00AC30A0">
      <w:pPr>
        <w:tabs>
          <w:tab w:val="left" w:pos="720"/>
        </w:tabs>
        <w:ind w:right="720"/>
        <w:rPr>
          <w:szCs w:val="24"/>
        </w:rPr>
      </w:pPr>
      <w:r>
        <w:rPr>
          <w:szCs w:val="24"/>
        </w:rPr>
        <w:tab/>
      </w:r>
      <w:r w:rsidR="00AC30A0">
        <w:rPr>
          <w:szCs w:val="24"/>
        </w:rPr>
        <w:t>Recent Rule 1:28 Decisions</w:t>
      </w:r>
    </w:p>
    <w:p w:rsidR="008F616E" w:rsidRDefault="008F616E" w:rsidP="008F616E">
      <w:pPr>
        <w:tabs>
          <w:tab w:val="left" w:pos="720"/>
        </w:tabs>
        <w:ind w:right="720" w:firstLine="720"/>
        <w:rPr>
          <w:szCs w:val="24"/>
        </w:rPr>
      </w:pPr>
      <w:r>
        <w:rPr>
          <w:szCs w:val="24"/>
        </w:rPr>
        <w:t>Writing Tips</w:t>
      </w:r>
    </w:p>
    <w:p w:rsidR="00AB5533" w:rsidRDefault="008F616E" w:rsidP="008F616E">
      <w:pPr>
        <w:tabs>
          <w:tab w:val="left" w:pos="720"/>
        </w:tabs>
        <w:ind w:right="720" w:firstLine="720"/>
        <w:rPr>
          <w:szCs w:val="24"/>
        </w:rPr>
      </w:pPr>
      <w:r>
        <w:rPr>
          <w:szCs w:val="24"/>
        </w:rPr>
        <w:t>Practice</w:t>
      </w:r>
      <w:r w:rsidR="00970E4F">
        <w:rPr>
          <w:szCs w:val="24"/>
        </w:rPr>
        <w:t xml:space="preserve"> Tips</w:t>
      </w:r>
    </w:p>
    <w:p w:rsidR="00AC30A0" w:rsidRPr="00045951" w:rsidRDefault="00AC30A0" w:rsidP="00AC30A0">
      <w:pPr>
        <w:tabs>
          <w:tab w:val="left" w:pos="720"/>
        </w:tabs>
        <w:ind w:right="720"/>
        <w:rPr>
          <w:szCs w:val="24"/>
        </w:rPr>
      </w:pPr>
      <w:r w:rsidRPr="00045951">
        <w:rPr>
          <w:szCs w:val="24"/>
        </w:rPr>
        <w:t>Date:</w:t>
      </w:r>
      <w:r w:rsidRPr="00045951">
        <w:rPr>
          <w:szCs w:val="24"/>
        </w:rPr>
        <w:tab/>
      </w:r>
      <w:r w:rsidR="00427E0D">
        <w:rPr>
          <w:szCs w:val="24"/>
        </w:rPr>
        <w:t>August</w:t>
      </w:r>
      <w:r w:rsidR="00220ADD">
        <w:rPr>
          <w:szCs w:val="24"/>
        </w:rPr>
        <w:t xml:space="preserve"> </w:t>
      </w:r>
      <w:r w:rsidR="006F3314">
        <w:rPr>
          <w:szCs w:val="24"/>
        </w:rPr>
        <w:t>19</w:t>
      </w:r>
      <w:r w:rsidR="00452C67">
        <w:rPr>
          <w:szCs w:val="24"/>
        </w:rPr>
        <w:t>, 2014</w:t>
      </w:r>
    </w:p>
    <w:p w:rsidR="00AC30A0" w:rsidRPr="00045951" w:rsidRDefault="00AC30A0" w:rsidP="00AC30A0">
      <w:pPr>
        <w:ind w:right="720"/>
        <w:rPr>
          <w:szCs w:val="24"/>
        </w:rPr>
      </w:pPr>
      <w:r w:rsidRPr="00045951">
        <w:rPr>
          <w:szCs w:val="24"/>
        </w:rPr>
        <w:t>__________________________________________________________________</w:t>
      </w:r>
    </w:p>
    <w:p w:rsidR="00AC30A0" w:rsidRDefault="00AC30A0" w:rsidP="00AC30A0">
      <w:pPr>
        <w:rPr>
          <w:b/>
          <w:szCs w:val="24"/>
          <w:u w:val="single"/>
        </w:rPr>
      </w:pPr>
    </w:p>
    <w:p w:rsidR="00A14DC5" w:rsidRDefault="00A14DC5" w:rsidP="00AC30A0">
      <w:pPr>
        <w:widowControl/>
        <w:rPr>
          <w:b/>
          <w:szCs w:val="24"/>
          <w:u w:val="single"/>
        </w:rPr>
      </w:pPr>
      <w:r>
        <w:rPr>
          <w:b/>
          <w:szCs w:val="24"/>
          <w:u w:val="single"/>
        </w:rPr>
        <w:t>Administrative Matters</w:t>
      </w:r>
    </w:p>
    <w:p w:rsidR="00A14DC5" w:rsidRDefault="00A14DC5" w:rsidP="00AC30A0">
      <w:pPr>
        <w:widowControl/>
        <w:rPr>
          <w:b/>
          <w:szCs w:val="24"/>
          <w:u w:val="single"/>
        </w:rPr>
      </w:pPr>
    </w:p>
    <w:p w:rsidR="009639C3" w:rsidRPr="009639C3" w:rsidRDefault="00220ADD" w:rsidP="00AC30A0">
      <w:pPr>
        <w:widowControl/>
        <w:rPr>
          <w:szCs w:val="24"/>
          <w:u w:val="single"/>
        </w:rPr>
      </w:pPr>
      <w:r>
        <w:rPr>
          <w:szCs w:val="24"/>
          <w:u w:val="single"/>
        </w:rPr>
        <w:t xml:space="preserve">Welcome to New </w:t>
      </w:r>
      <w:r w:rsidR="006C7884">
        <w:rPr>
          <w:szCs w:val="24"/>
          <w:u w:val="single"/>
        </w:rPr>
        <w:t xml:space="preserve">Appellate Panel </w:t>
      </w:r>
      <w:r>
        <w:rPr>
          <w:szCs w:val="24"/>
          <w:u w:val="single"/>
        </w:rPr>
        <w:t>Members</w:t>
      </w:r>
    </w:p>
    <w:p w:rsidR="009639C3" w:rsidRDefault="009639C3" w:rsidP="00AC30A0">
      <w:pPr>
        <w:widowControl/>
        <w:rPr>
          <w:szCs w:val="24"/>
        </w:rPr>
      </w:pPr>
    </w:p>
    <w:p w:rsidR="00220ADD" w:rsidRDefault="00220ADD" w:rsidP="00220ADD">
      <w:pPr>
        <w:widowControl/>
        <w:rPr>
          <w:szCs w:val="24"/>
        </w:rPr>
      </w:pPr>
      <w:r>
        <w:rPr>
          <w:szCs w:val="24"/>
        </w:rPr>
        <w:t xml:space="preserve">Welcome to </w:t>
      </w:r>
      <w:r w:rsidR="003D3ABB">
        <w:rPr>
          <w:szCs w:val="24"/>
        </w:rPr>
        <w:t>18</w:t>
      </w:r>
      <w:r>
        <w:rPr>
          <w:szCs w:val="24"/>
        </w:rPr>
        <w:t xml:space="preserve"> new CAFL appellate panel members who survived the </w:t>
      </w:r>
      <w:r w:rsidR="00D51789">
        <w:rPr>
          <w:szCs w:val="24"/>
        </w:rPr>
        <w:t>three-</w:t>
      </w:r>
      <w:r w:rsidR="00234B9D" w:rsidRPr="00234B9D">
        <w:rPr>
          <w:szCs w:val="24"/>
        </w:rPr>
        <w:t xml:space="preserve">day CAFL appellate training program </w:t>
      </w:r>
      <w:r>
        <w:rPr>
          <w:szCs w:val="24"/>
        </w:rPr>
        <w:t>held on</w:t>
      </w:r>
      <w:r w:rsidR="00234B9D" w:rsidRPr="00234B9D">
        <w:rPr>
          <w:szCs w:val="24"/>
        </w:rPr>
        <w:t xml:space="preserve"> May 5</w:t>
      </w:r>
      <w:r>
        <w:rPr>
          <w:szCs w:val="24"/>
        </w:rPr>
        <w:t>-7</w:t>
      </w:r>
      <w:r w:rsidR="00EF5115">
        <w:rPr>
          <w:szCs w:val="24"/>
        </w:rPr>
        <w:t>, 2014 in Worcester</w:t>
      </w:r>
      <w:r w:rsidR="00234B9D" w:rsidRPr="00234B9D">
        <w:rPr>
          <w:szCs w:val="24"/>
        </w:rPr>
        <w:t>. </w:t>
      </w:r>
      <w:r w:rsidR="00112710">
        <w:rPr>
          <w:szCs w:val="24"/>
        </w:rPr>
        <w:t xml:space="preserve">Thanks to our current panel members and CPCS staff who helped to make this training a huge success. </w:t>
      </w:r>
      <w:r w:rsidR="00234B9D" w:rsidRPr="00234B9D">
        <w:rPr>
          <w:szCs w:val="24"/>
        </w:rPr>
        <w:t xml:space="preserve"> </w:t>
      </w:r>
    </w:p>
    <w:p w:rsidR="003D3ABB" w:rsidRDefault="003D3ABB" w:rsidP="00220ADD">
      <w:pPr>
        <w:widowControl/>
        <w:rPr>
          <w:szCs w:val="24"/>
        </w:rPr>
      </w:pPr>
    </w:p>
    <w:p w:rsidR="00220ADD" w:rsidRPr="00220ADD" w:rsidRDefault="00220ADD" w:rsidP="00220ADD">
      <w:pPr>
        <w:widowControl/>
        <w:rPr>
          <w:szCs w:val="24"/>
          <w:u w:val="single"/>
        </w:rPr>
      </w:pPr>
      <w:r w:rsidRPr="00220ADD">
        <w:rPr>
          <w:szCs w:val="24"/>
          <w:u w:val="single"/>
        </w:rPr>
        <w:t>Welcome to Mimi Wong</w:t>
      </w:r>
    </w:p>
    <w:p w:rsidR="00220ADD" w:rsidRDefault="00220ADD" w:rsidP="00220ADD">
      <w:pPr>
        <w:widowControl/>
        <w:rPr>
          <w:szCs w:val="24"/>
        </w:rPr>
      </w:pPr>
    </w:p>
    <w:p w:rsidR="003D3ABB" w:rsidRPr="002F3363" w:rsidRDefault="00112710" w:rsidP="00220ADD">
      <w:pPr>
        <w:widowControl/>
        <w:rPr>
          <w:szCs w:val="24"/>
        </w:rPr>
      </w:pPr>
      <w:r>
        <w:rPr>
          <w:szCs w:val="24"/>
        </w:rPr>
        <w:t xml:space="preserve">In April, </w:t>
      </w:r>
      <w:r w:rsidR="00220ADD">
        <w:rPr>
          <w:szCs w:val="24"/>
        </w:rPr>
        <w:t>Mimi Wong, a trial attorney in our Bo</w:t>
      </w:r>
      <w:r w:rsidR="00BC51EF">
        <w:rPr>
          <w:szCs w:val="24"/>
        </w:rPr>
        <w:t>ston CAFL Office since 2006,</w:t>
      </w:r>
      <w:r w:rsidR="00220ADD">
        <w:rPr>
          <w:szCs w:val="24"/>
        </w:rPr>
        <w:t xml:space="preserve"> joined CAFL Administration in Boston.  Mimi has some appellate experience as well, and she will be assigning appeals and doing other work with the panel.  She will also be doing work with the trial panel.  Welcome</w:t>
      </w:r>
      <w:r w:rsidR="00723A21">
        <w:rPr>
          <w:szCs w:val="24"/>
        </w:rPr>
        <w:t xml:space="preserve">, </w:t>
      </w:r>
      <w:r w:rsidR="00220ADD">
        <w:rPr>
          <w:szCs w:val="24"/>
        </w:rPr>
        <w:t xml:space="preserve">Mimi! </w:t>
      </w:r>
    </w:p>
    <w:p w:rsidR="00234B9D" w:rsidRDefault="00234B9D" w:rsidP="00234B9D">
      <w:pPr>
        <w:widowControl/>
        <w:rPr>
          <w:szCs w:val="24"/>
        </w:rPr>
      </w:pPr>
    </w:p>
    <w:p w:rsidR="00EF5115" w:rsidRPr="00EF5115" w:rsidRDefault="00EF5115" w:rsidP="00234B9D">
      <w:pPr>
        <w:widowControl/>
        <w:rPr>
          <w:szCs w:val="24"/>
        </w:rPr>
      </w:pPr>
      <w:r>
        <w:rPr>
          <w:szCs w:val="24"/>
          <w:u w:val="single"/>
        </w:rPr>
        <w:t>New CPCS Website Coming Soon</w:t>
      </w:r>
    </w:p>
    <w:p w:rsidR="00EF5115" w:rsidRDefault="00EF5115" w:rsidP="00234B9D">
      <w:pPr>
        <w:widowControl/>
        <w:rPr>
          <w:szCs w:val="24"/>
        </w:rPr>
      </w:pPr>
    </w:p>
    <w:p w:rsidR="00EF5115" w:rsidRDefault="00112710" w:rsidP="00234B9D">
      <w:pPr>
        <w:widowControl/>
        <w:rPr>
          <w:szCs w:val="24"/>
        </w:rPr>
      </w:pPr>
      <w:r>
        <w:rPr>
          <w:szCs w:val="24"/>
        </w:rPr>
        <w:t xml:space="preserve">We are very excited to announce that CPCS is in the process of updating its website.  It is our hope that the new website will launch in </w:t>
      </w:r>
      <w:r w:rsidR="00723A21">
        <w:rPr>
          <w:szCs w:val="24"/>
        </w:rPr>
        <w:t>late</w:t>
      </w:r>
      <w:r>
        <w:rPr>
          <w:szCs w:val="24"/>
        </w:rPr>
        <w:t xml:space="preserve"> 2014.  </w:t>
      </w:r>
      <w:r w:rsidR="00BC51EF">
        <w:rPr>
          <w:szCs w:val="24"/>
        </w:rPr>
        <w:t>Although i</w:t>
      </w:r>
      <w:r>
        <w:rPr>
          <w:szCs w:val="24"/>
        </w:rPr>
        <w:t xml:space="preserve">t will </w:t>
      </w:r>
      <w:r w:rsidR="00BC51EF">
        <w:rPr>
          <w:szCs w:val="24"/>
        </w:rPr>
        <w:t xml:space="preserve">continue </w:t>
      </w:r>
      <w:r>
        <w:rPr>
          <w:szCs w:val="24"/>
        </w:rPr>
        <w:t>be a work in progress</w:t>
      </w:r>
      <w:r w:rsidR="00BC51EF">
        <w:rPr>
          <w:szCs w:val="24"/>
        </w:rPr>
        <w:t xml:space="preserve"> for some time,</w:t>
      </w:r>
      <w:r>
        <w:rPr>
          <w:szCs w:val="24"/>
        </w:rPr>
        <w:t xml:space="preserve"> it is sure to be much more user-friendly than the current site and will contain many helpful trial and appellate resources.  Stay tuned</w:t>
      </w:r>
      <w:r w:rsidR="00723A21">
        <w:rPr>
          <w:szCs w:val="24"/>
        </w:rPr>
        <w:t>.</w:t>
      </w:r>
      <w:r w:rsidR="00BB2D9A">
        <w:rPr>
          <w:szCs w:val="24"/>
        </w:rPr>
        <w:t xml:space="preserve">  (Note:  Jaime is working very hard on this project, so I know it will be great.)</w:t>
      </w:r>
    </w:p>
    <w:p w:rsidR="00EF5115" w:rsidRPr="00234B9D" w:rsidRDefault="00EF5115" w:rsidP="00234B9D">
      <w:pPr>
        <w:widowControl/>
        <w:rPr>
          <w:szCs w:val="24"/>
        </w:rPr>
      </w:pPr>
    </w:p>
    <w:p w:rsidR="00BC51EF" w:rsidRDefault="00BC51EF" w:rsidP="00AC30A0">
      <w:pPr>
        <w:widowControl/>
        <w:rPr>
          <w:szCs w:val="24"/>
          <w:u w:val="single"/>
        </w:rPr>
      </w:pPr>
    </w:p>
    <w:p w:rsidR="00BC51EF" w:rsidRDefault="00BC51EF" w:rsidP="00AC30A0">
      <w:pPr>
        <w:widowControl/>
        <w:rPr>
          <w:szCs w:val="24"/>
          <w:u w:val="single"/>
        </w:rPr>
      </w:pPr>
    </w:p>
    <w:p w:rsidR="00BC51EF" w:rsidRDefault="00BC51EF" w:rsidP="00AC30A0">
      <w:pPr>
        <w:widowControl/>
        <w:rPr>
          <w:szCs w:val="24"/>
          <w:u w:val="single"/>
        </w:rPr>
      </w:pPr>
    </w:p>
    <w:p w:rsidR="00250E96" w:rsidRPr="0020075D" w:rsidRDefault="00112710" w:rsidP="00AC30A0">
      <w:pPr>
        <w:widowControl/>
        <w:rPr>
          <w:szCs w:val="24"/>
          <w:u w:val="single"/>
        </w:rPr>
      </w:pPr>
      <w:r>
        <w:rPr>
          <w:szCs w:val="24"/>
          <w:u w:val="single"/>
        </w:rPr>
        <w:t>Issue/</w:t>
      </w:r>
      <w:r w:rsidR="00234B9D">
        <w:rPr>
          <w:szCs w:val="24"/>
          <w:u w:val="single"/>
        </w:rPr>
        <w:t>Resource</w:t>
      </w:r>
      <w:r w:rsidR="00250E96" w:rsidRPr="0020075D">
        <w:rPr>
          <w:szCs w:val="24"/>
          <w:u w:val="single"/>
        </w:rPr>
        <w:t xml:space="preserve"> Bank</w:t>
      </w:r>
    </w:p>
    <w:p w:rsidR="00250E96" w:rsidRDefault="00250E96" w:rsidP="00AC30A0">
      <w:pPr>
        <w:widowControl/>
        <w:rPr>
          <w:szCs w:val="24"/>
        </w:rPr>
      </w:pPr>
    </w:p>
    <w:p w:rsidR="00234B9D" w:rsidRPr="006C71B7" w:rsidRDefault="0062782D" w:rsidP="00220ADD">
      <w:pPr>
        <w:widowControl/>
        <w:rPr>
          <w:szCs w:val="24"/>
        </w:rPr>
      </w:pPr>
      <w:r>
        <w:rPr>
          <w:szCs w:val="24"/>
        </w:rPr>
        <w:t xml:space="preserve">We are </w:t>
      </w:r>
      <w:r w:rsidR="00220ADD">
        <w:rPr>
          <w:szCs w:val="24"/>
        </w:rPr>
        <w:t xml:space="preserve">making </w:t>
      </w:r>
      <w:r w:rsidR="003D3ABB">
        <w:rPr>
          <w:szCs w:val="24"/>
        </w:rPr>
        <w:t xml:space="preserve">(slow) </w:t>
      </w:r>
      <w:r w:rsidR="00220ADD">
        <w:rPr>
          <w:szCs w:val="24"/>
        </w:rPr>
        <w:t xml:space="preserve">progress with the Resource Bank.  Our plan is to roll out a portion of </w:t>
      </w:r>
      <w:r w:rsidR="00BB2D9A">
        <w:rPr>
          <w:szCs w:val="24"/>
        </w:rPr>
        <w:t>it</w:t>
      </w:r>
      <w:r w:rsidR="00220ADD">
        <w:rPr>
          <w:szCs w:val="24"/>
        </w:rPr>
        <w:t xml:space="preserve"> </w:t>
      </w:r>
      <w:r w:rsidR="003D3ABB">
        <w:rPr>
          <w:szCs w:val="24"/>
        </w:rPr>
        <w:t>at the end of the summer</w:t>
      </w:r>
      <w:r w:rsidR="00220ADD">
        <w:rPr>
          <w:szCs w:val="24"/>
        </w:rPr>
        <w:t xml:space="preserve"> in order to get your feedback.</w:t>
      </w:r>
      <w:r w:rsidR="00737EAE">
        <w:rPr>
          <w:szCs w:val="24"/>
        </w:rPr>
        <w:t xml:space="preserve">  Our “Due Process” files </w:t>
      </w:r>
      <w:r w:rsidR="00BB2D9A">
        <w:rPr>
          <w:szCs w:val="24"/>
        </w:rPr>
        <w:t xml:space="preserve">– which we will make available to you, on request, as Word and PDF attachments – will </w:t>
      </w:r>
      <w:r w:rsidR="00737EAE">
        <w:rPr>
          <w:szCs w:val="24"/>
        </w:rPr>
        <w:t xml:space="preserve">include not just the usual due process suspects (“right to notice,” “right to participate,” “fair procedures”) but also “right to counsel,” “ineffective assistance of counsel,” “structural error,” </w:t>
      </w:r>
      <w:r w:rsidR="00BB2D9A">
        <w:rPr>
          <w:szCs w:val="24"/>
        </w:rPr>
        <w:t xml:space="preserve">“judicial bias,” </w:t>
      </w:r>
      <w:r w:rsidR="00737EAE">
        <w:rPr>
          <w:szCs w:val="24"/>
        </w:rPr>
        <w:t>and many other topics</w:t>
      </w:r>
      <w:r w:rsidR="00001855">
        <w:rPr>
          <w:szCs w:val="24"/>
        </w:rPr>
        <w:t xml:space="preserve"> under the umbrella of “Due Process.”</w:t>
      </w:r>
    </w:p>
    <w:p w:rsidR="00AA66BF" w:rsidRDefault="00AA66BF" w:rsidP="00AC30A0">
      <w:pPr>
        <w:widowControl/>
        <w:rPr>
          <w:szCs w:val="24"/>
        </w:rPr>
      </w:pPr>
    </w:p>
    <w:p w:rsidR="009639C3" w:rsidRDefault="00AA66BF" w:rsidP="00AC30A0">
      <w:pPr>
        <w:widowControl/>
        <w:rPr>
          <w:szCs w:val="24"/>
        </w:rPr>
      </w:pPr>
      <w:r w:rsidRPr="00AA66BF">
        <w:rPr>
          <w:szCs w:val="24"/>
          <w:u w:val="single"/>
        </w:rPr>
        <w:t>Moot Courts</w:t>
      </w:r>
      <w:r>
        <w:rPr>
          <w:szCs w:val="24"/>
        </w:rPr>
        <w:t xml:space="preserve">  </w:t>
      </w:r>
    </w:p>
    <w:p w:rsidR="009639C3" w:rsidRDefault="009639C3" w:rsidP="00AC30A0">
      <w:pPr>
        <w:widowControl/>
        <w:rPr>
          <w:szCs w:val="24"/>
        </w:rPr>
      </w:pPr>
    </w:p>
    <w:p w:rsidR="00AA66BF" w:rsidRDefault="007A01C4" w:rsidP="00AC30A0">
      <w:pPr>
        <w:widowControl/>
        <w:rPr>
          <w:szCs w:val="24"/>
        </w:rPr>
      </w:pPr>
      <w:r>
        <w:rPr>
          <w:szCs w:val="24"/>
        </w:rPr>
        <w:t>I</w:t>
      </w:r>
      <w:r w:rsidR="00AA66BF">
        <w:rPr>
          <w:szCs w:val="24"/>
        </w:rPr>
        <w:t xml:space="preserve">f you </w:t>
      </w:r>
      <w:r w:rsidR="009639C3">
        <w:rPr>
          <w:szCs w:val="24"/>
        </w:rPr>
        <w:t>get</w:t>
      </w:r>
      <w:r w:rsidR="00AA66BF">
        <w:rPr>
          <w:szCs w:val="24"/>
        </w:rPr>
        <w:t xml:space="preserve"> </w:t>
      </w:r>
      <w:r w:rsidR="00737EAE">
        <w:rPr>
          <w:szCs w:val="24"/>
        </w:rPr>
        <w:t>oral</w:t>
      </w:r>
      <w:r w:rsidR="0094473F">
        <w:rPr>
          <w:szCs w:val="24"/>
        </w:rPr>
        <w:t xml:space="preserve"> </w:t>
      </w:r>
      <w:r w:rsidR="00AA66BF">
        <w:rPr>
          <w:szCs w:val="24"/>
        </w:rPr>
        <w:t xml:space="preserve">argument </w:t>
      </w:r>
      <w:r w:rsidR="00737EAE">
        <w:rPr>
          <w:szCs w:val="24"/>
        </w:rPr>
        <w:t xml:space="preserve">in September or October </w:t>
      </w:r>
      <w:r w:rsidR="00AA66BF">
        <w:rPr>
          <w:szCs w:val="24"/>
        </w:rPr>
        <w:t>and want to be moot-courted, call us.  Under some circumstances</w:t>
      </w:r>
      <w:r w:rsidR="009639C3">
        <w:rPr>
          <w:szCs w:val="24"/>
        </w:rPr>
        <w:t xml:space="preserve"> we can come out to your office or use </w:t>
      </w:r>
      <w:r w:rsidR="0020075D">
        <w:rPr>
          <w:szCs w:val="24"/>
        </w:rPr>
        <w:t xml:space="preserve">CAFL </w:t>
      </w:r>
      <w:r w:rsidR="009639C3">
        <w:rPr>
          <w:szCs w:val="24"/>
        </w:rPr>
        <w:t xml:space="preserve">staff space in Worcester. </w:t>
      </w:r>
      <w:r w:rsidR="002F3363">
        <w:rPr>
          <w:szCs w:val="24"/>
        </w:rPr>
        <w:t xml:space="preserve"> Remember, if you moot-court with someone from our administrative office, you will receive 2 CLE credits for the current fiscal year.</w:t>
      </w:r>
    </w:p>
    <w:p w:rsidR="006C7884" w:rsidRDefault="006C7884" w:rsidP="00AC30A0">
      <w:pPr>
        <w:widowControl/>
        <w:rPr>
          <w:szCs w:val="24"/>
        </w:rPr>
      </w:pPr>
    </w:p>
    <w:p w:rsidR="00AC30A0" w:rsidRDefault="00AA7D35" w:rsidP="00AC30A0">
      <w:pPr>
        <w:widowControl/>
        <w:rPr>
          <w:szCs w:val="24"/>
        </w:rPr>
      </w:pPr>
      <w:r>
        <w:rPr>
          <w:b/>
          <w:szCs w:val="24"/>
          <w:u w:val="single"/>
        </w:rPr>
        <w:t>Recent</w:t>
      </w:r>
      <w:r w:rsidR="00AC30A0">
        <w:rPr>
          <w:b/>
          <w:szCs w:val="24"/>
          <w:u w:val="single"/>
        </w:rPr>
        <w:t xml:space="preserve"> Rule 1:28 Decisions</w:t>
      </w:r>
    </w:p>
    <w:p w:rsidR="00AC30A0" w:rsidRDefault="00AC30A0" w:rsidP="00AC30A0">
      <w:pPr>
        <w:widowControl/>
        <w:rPr>
          <w:szCs w:val="24"/>
        </w:rPr>
      </w:pPr>
    </w:p>
    <w:p w:rsidR="00D65782" w:rsidRDefault="00D65782" w:rsidP="00AC30A0">
      <w:pPr>
        <w:rPr>
          <w:szCs w:val="24"/>
        </w:rPr>
      </w:pPr>
      <w:r>
        <w:rPr>
          <w:szCs w:val="24"/>
        </w:rPr>
        <w:t xml:space="preserve">This memo catches us up through </w:t>
      </w:r>
      <w:r w:rsidR="00EF5115">
        <w:rPr>
          <w:szCs w:val="24"/>
        </w:rPr>
        <w:t>June</w:t>
      </w:r>
      <w:r w:rsidR="004860B8">
        <w:rPr>
          <w:szCs w:val="24"/>
        </w:rPr>
        <w:t xml:space="preserve"> 2014</w:t>
      </w:r>
      <w:r>
        <w:rPr>
          <w:szCs w:val="24"/>
        </w:rPr>
        <w:t>.  If we have left out one of your Rule 1:28 decisions and it has a useful tidbit in it, please let us know.</w:t>
      </w:r>
    </w:p>
    <w:p w:rsidR="00D65782" w:rsidRDefault="00D65782" w:rsidP="00AC30A0">
      <w:pPr>
        <w:rPr>
          <w:szCs w:val="24"/>
        </w:rPr>
      </w:pPr>
    </w:p>
    <w:p w:rsidR="00F25849" w:rsidRDefault="001D5EC5" w:rsidP="00AC30A0">
      <w:pPr>
        <w:rPr>
          <w:szCs w:val="24"/>
        </w:rPr>
      </w:pPr>
      <w:r>
        <w:rPr>
          <w:szCs w:val="24"/>
        </w:rPr>
        <w:t>We</w:t>
      </w:r>
      <w:r w:rsidR="00A204AD">
        <w:rPr>
          <w:szCs w:val="24"/>
        </w:rPr>
        <w:t>’re</w:t>
      </w:r>
      <w:r>
        <w:rPr>
          <w:szCs w:val="24"/>
        </w:rPr>
        <w:t xml:space="preserve"> still seeing attorneys cite Rule 1:28 decision</w:t>
      </w:r>
      <w:r w:rsidR="0094473F">
        <w:rPr>
          <w:szCs w:val="24"/>
        </w:rPr>
        <w:t>s</w:t>
      </w:r>
      <w:r>
        <w:rPr>
          <w:szCs w:val="24"/>
        </w:rPr>
        <w:t xml:space="preserve"> </w:t>
      </w:r>
      <w:r w:rsidRPr="001D5EC5">
        <w:rPr>
          <w:b/>
          <w:i/>
          <w:szCs w:val="24"/>
        </w:rPr>
        <w:t>incorrectly</w:t>
      </w:r>
      <w:r w:rsidR="00A204AD">
        <w:rPr>
          <w:szCs w:val="24"/>
        </w:rPr>
        <w:t xml:space="preserve">.  </w:t>
      </w:r>
      <w:r>
        <w:rPr>
          <w:szCs w:val="24"/>
        </w:rPr>
        <w:t>I</w:t>
      </w:r>
      <w:r w:rsidR="00AC30A0">
        <w:rPr>
          <w:szCs w:val="24"/>
        </w:rPr>
        <w:t>f</w:t>
      </w:r>
      <w:r w:rsidR="00AC30A0" w:rsidRPr="00846B37">
        <w:rPr>
          <w:szCs w:val="24"/>
        </w:rPr>
        <w:t xml:space="preserve"> you cite to a </w:t>
      </w:r>
      <w:r w:rsidR="00AC30A0">
        <w:rPr>
          <w:szCs w:val="24"/>
        </w:rPr>
        <w:t xml:space="preserve">Rule </w:t>
      </w:r>
      <w:r w:rsidR="00AC30A0" w:rsidRPr="00846B37">
        <w:rPr>
          <w:szCs w:val="24"/>
        </w:rPr>
        <w:t>1:28 decision in your brief</w:t>
      </w:r>
      <w:r w:rsidR="00AC30A0">
        <w:rPr>
          <w:szCs w:val="24"/>
        </w:rPr>
        <w:t xml:space="preserve"> or </w:t>
      </w:r>
      <w:r w:rsidR="00AC30A0" w:rsidRPr="00846B37">
        <w:rPr>
          <w:szCs w:val="24"/>
        </w:rPr>
        <w:t>motion, you must</w:t>
      </w:r>
      <w:r w:rsidR="00F25849">
        <w:rPr>
          <w:szCs w:val="24"/>
        </w:rPr>
        <w:t>:</w:t>
      </w:r>
    </w:p>
    <w:p w:rsidR="00F25849" w:rsidRDefault="00F25849" w:rsidP="00AC30A0">
      <w:pPr>
        <w:rPr>
          <w:szCs w:val="24"/>
        </w:rPr>
      </w:pPr>
    </w:p>
    <w:p w:rsidR="00F25849" w:rsidRDefault="00AC30A0" w:rsidP="00F25849">
      <w:pPr>
        <w:ind w:left="1080" w:hanging="360"/>
        <w:rPr>
          <w:szCs w:val="24"/>
        </w:rPr>
      </w:pPr>
      <w:r>
        <w:rPr>
          <w:szCs w:val="24"/>
        </w:rPr>
        <w:t xml:space="preserve">(a) </w:t>
      </w:r>
      <w:r w:rsidRPr="00846B37">
        <w:rPr>
          <w:szCs w:val="24"/>
        </w:rPr>
        <w:t>attach a copy of the decision as an addendum</w:t>
      </w:r>
      <w:r w:rsidR="00F25849">
        <w:rPr>
          <w:szCs w:val="24"/>
        </w:rPr>
        <w:t>;</w:t>
      </w:r>
      <w:r>
        <w:rPr>
          <w:szCs w:val="24"/>
        </w:rPr>
        <w:t xml:space="preserve"> and </w:t>
      </w:r>
    </w:p>
    <w:p w:rsidR="00AC30A0" w:rsidRDefault="00AC30A0" w:rsidP="00F25849">
      <w:pPr>
        <w:ind w:left="1080" w:hanging="360"/>
        <w:rPr>
          <w:szCs w:val="24"/>
        </w:rPr>
      </w:pPr>
      <w:r>
        <w:rPr>
          <w:szCs w:val="24"/>
        </w:rPr>
        <w:t>(b) cite the page of the Appeals Court reporter that lists the decision</w:t>
      </w:r>
      <w:r w:rsidR="00F25849">
        <w:rPr>
          <w:szCs w:val="24"/>
        </w:rPr>
        <w:t xml:space="preserve"> and a notation that the decision was issued pursuant to Rule 1:28</w:t>
      </w:r>
      <w:r w:rsidRPr="00846B37">
        <w:rPr>
          <w:szCs w:val="24"/>
        </w:rPr>
        <w:t xml:space="preserve">.  </w:t>
      </w:r>
      <w:r w:rsidR="00F25849">
        <w:rPr>
          <w:szCs w:val="24"/>
        </w:rPr>
        <w:t xml:space="preserve">In your brief or motion, you do not need to cite the docket number, month or day.  For example:  </w:t>
      </w:r>
      <w:r w:rsidR="00F25849" w:rsidRPr="00F25849">
        <w:rPr>
          <w:szCs w:val="24"/>
          <w:u w:val="single"/>
        </w:rPr>
        <w:t>Care and Protection of Priscilla</w:t>
      </w:r>
      <w:r w:rsidR="00F25849">
        <w:rPr>
          <w:szCs w:val="24"/>
        </w:rPr>
        <w:t>, 79 Mass. App. Ct. 1101 (2011) (Mass. App. Ct. Rule 1:28).</w:t>
      </w:r>
      <w:r w:rsidR="00952269">
        <w:rPr>
          <w:szCs w:val="24"/>
        </w:rPr>
        <w:t xml:space="preserve">  Please note that we’re using the docket numbers and dates of issuance below just to make it easier for you to find the decisions online.</w:t>
      </w:r>
    </w:p>
    <w:p w:rsidR="00AC30A0" w:rsidRDefault="00AC30A0" w:rsidP="00AC30A0">
      <w:pPr>
        <w:rPr>
          <w:szCs w:val="24"/>
        </w:rPr>
      </w:pPr>
    </w:p>
    <w:p w:rsidR="00AC30A0" w:rsidRPr="0094473F" w:rsidRDefault="00BC51EF" w:rsidP="00F81ECB">
      <w:pPr>
        <w:rPr>
          <w:szCs w:val="24"/>
        </w:rPr>
      </w:pPr>
      <w:r w:rsidRPr="00BC51EF">
        <w:rPr>
          <w:b/>
          <w:szCs w:val="24"/>
        </w:rPr>
        <w:t>Please note that the Massachusetts Courts website has changed.</w:t>
      </w:r>
      <w:r>
        <w:rPr>
          <w:szCs w:val="24"/>
        </w:rPr>
        <w:t xml:space="preserve">  </w:t>
      </w:r>
      <w:r w:rsidR="00F25849">
        <w:rPr>
          <w:szCs w:val="24"/>
        </w:rPr>
        <w:t xml:space="preserve">Rule </w:t>
      </w:r>
      <w:r w:rsidR="00AC30A0" w:rsidRPr="00846B37">
        <w:rPr>
          <w:szCs w:val="24"/>
        </w:rPr>
        <w:t>1:28</w:t>
      </w:r>
      <w:r w:rsidR="00AC30A0">
        <w:rPr>
          <w:szCs w:val="24"/>
        </w:rPr>
        <w:t xml:space="preserve"> decisions</w:t>
      </w:r>
      <w:r>
        <w:rPr>
          <w:szCs w:val="24"/>
        </w:rPr>
        <w:t xml:space="preserve"> are now </w:t>
      </w:r>
      <w:r w:rsidR="00AC30A0" w:rsidRPr="00846B37">
        <w:rPr>
          <w:szCs w:val="24"/>
        </w:rPr>
        <w:t>available on the web at:</w:t>
      </w:r>
      <w:r w:rsidR="00F81ECB">
        <w:rPr>
          <w:szCs w:val="24"/>
        </w:rPr>
        <w:t xml:space="preserve"> </w:t>
      </w:r>
      <w:hyperlink r:id="rId9" w:history="1">
        <w:r w:rsidR="00F81ECB" w:rsidRPr="00C43250">
          <w:rPr>
            <w:rStyle w:val="Hyperlink"/>
            <w:szCs w:val="24"/>
          </w:rPr>
          <w:t>http://www.mass.gov/courts/case-legal-res/appellate-opinions/</w:t>
        </w:r>
      </w:hyperlink>
      <w:r w:rsidR="00F81ECB">
        <w:rPr>
          <w:szCs w:val="24"/>
        </w:rPr>
        <w:t>. Click on the link for “Archives of Published Opinions and Unpublished Decision</w:t>
      </w:r>
      <w:r w:rsidR="00107F2D">
        <w:rPr>
          <w:szCs w:val="24"/>
        </w:rPr>
        <w:t>s</w:t>
      </w:r>
      <w:r w:rsidR="00F81ECB">
        <w:rPr>
          <w:szCs w:val="24"/>
        </w:rPr>
        <w:t xml:space="preserve">.”  </w:t>
      </w:r>
      <w:proofErr w:type="gramStart"/>
      <w:r w:rsidR="0094473F">
        <w:rPr>
          <w:szCs w:val="24"/>
        </w:rPr>
        <w:t xml:space="preserve">To </w:t>
      </w:r>
      <w:r w:rsidR="00327C4D">
        <w:rPr>
          <w:szCs w:val="24"/>
        </w:rPr>
        <w:t>find</w:t>
      </w:r>
      <w:r w:rsidR="0094473F">
        <w:rPr>
          <w:szCs w:val="24"/>
        </w:rPr>
        <w:t xml:space="preserve"> all child welfare Rule 1:28 decisions, </w:t>
      </w:r>
      <w:r w:rsidR="00F81ECB">
        <w:rPr>
          <w:szCs w:val="24"/>
        </w:rPr>
        <w:t>search by “party name” and type “adoption or care or guardianship” into the first box for party name.</w:t>
      </w:r>
      <w:proofErr w:type="gramEnd"/>
      <w:r w:rsidR="0094473F">
        <w:rPr>
          <w:szCs w:val="24"/>
        </w:rPr>
        <w:t xml:space="preserve">  To find a specific c</w:t>
      </w:r>
      <w:r w:rsidR="00F81ECB">
        <w:rPr>
          <w:szCs w:val="24"/>
        </w:rPr>
        <w:t>ase</w:t>
      </w:r>
      <w:r w:rsidR="0094473F">
        <w:rPr>
          <w:szCs w:val="24"/>
        </w:rPr>
        <w:t>, enter th</w:t>
      </w:r>
      <w:r w:rsidR="00F81ECB">
        <w:rPr>
          <w:szCs w:val="24"/>
        </w:rPr>
        <w:t>e case name</w:t>
      </w:r>
      <w:r w:rsidR="0094473F">
        <w:rPr>
          <w:szCs w:val="24"/>
        </w:rPr>
        <w:t>.</w:t>
      </w:r>
    </w:p>
    <w:p w:rsidR="003A441B" w:rsidRDefault="003A441B" w:rsidP="003A441B"/>
    <w:p w:rsidR="00BC1FED" w:rsidRDefault="004A5A2C" w:rsidP="004A5A2C">
      <w:pPr>
        <w:widowControl/>
        <w:numPr>
          <w:ilvl w:val="0"/>
          <w:numId w:val="39"/>
        </w:numPr>
        <w:ind w:hanging="240"/>
        <w:rPr>
          <w:rFonts w:eastAsia="ヒラギノ角ゴ Pro W3"/>
          <w:snapToGrid/>
          <w:color w:val="000000"/>
        </w:rPr>
      </w:pPr>
      <w:r w:rsidRPr="004A5A2C">
        <w:rPr>
          <w:rFonts w:eastAsia="ヒラギノ角ゴ Pro W3"/>
          <w:snapToGrid/>
          <w:color w:val="000000"/>
          <w:u w:val="single"/>
        </w:rPr>
        <w:t>Adoption of Beatrice</w:t>
      </w:r>
      <w:r w:rsidRPr="004A5A2C">
        <w:rPr>
          <w:rFonts w:eastAsia="ヒラギノ角ゴ Pro W3"/>
          <w:snapToGrid/>
          <w:color w:val="000000"/>
        </w:rPr>
        <w:t xml:space="preserve">, 84 Mass. App. Ct. 1128, No. 13-P-482 (January 13, 2014).  In </w:t>
      </w:r>
      <w:r w:rsidRPr="004A5A2C">
        <w:rPr>
          <w:rFonts w:eastAsia="ヒラギノ角ゴ Pro W3"/>
          <w:snapToGrid/>
          <w:color w:val="000000"/>
          <w:u w:val="single"/>
        </w:rPr>
        <w:t>Beatrice</w:t>
      </w:r>
      <w:r w:rsidRPr="004A5A2C">
        <w:rPr>
          <w:rFonts w:eastAsia="ヒラギノ角ゴ Pro W3"/>
          <w:snapToGrid/>
          <w:color w:val="000000"/>
        </w:rPr>
        <w:t>, the trial judge found the mother unfit and terminated her parental rights. The judge further determined that post-</w:t>
      </w:r>
      <w:r w:rsidR="0080783E">
        <w:rPr>
          <w:rFonts w:eastAsia="ヒラギノ角ゴ Pro W3"/>
          <w:snapToGrid/>
          <w:color w:val="000000"/>
        </w:rPr>
        <w:t>termination</w:t>
      </w:r>
      <w:r w:rsidRPr="004A5A2C">
        <w:rPr>
          <w:rFonts w:eastAsia="ヒラギノ角ゴ Pro W3"/>
          <w:snapToGrid/>
          <w:color w:val="000000"/>
        </w:rPr>
        <w:t xml:space="preserve"> visitation was in the best interests of the child, but she refused to enter a specific visitation order.  Instead, she made it clear that she would impose a visitation order if the parties could not agree on its specific terms. </w:t>
      </w:r>
      <w:r w:rsidR="0080783E">
        <w:rPr>
          <w:rFonts w:eastAsia="ヒラギノ角ゴ Pro W3"/>
          <w:snapToGrid/>
          <w:color w:val="000000"/>
        </w:rPr>
        <w:t xml:space="preserve"> Rather than negotiate with the parties and bring any dispute back to the trial court, t</w:t>
      </w:r>
      <w:r w:rsidRPr="004A5A2C">
        <w:rPr>
          <w:rFonts w:eastAsia="ヒラギノ角ゴ Pro W3"/>
          <w:snapToGrid/>
          <w:color w:val="000000"/>
        </w:rPr>
        <w:t>he mother appealed</w:t>
      </w:r>
      <w:r w:rsidR="0080783E">
        <w:rPr>
          <w:rFonts w:eastAsia="ヒラギノ角ゴ Pro W3"/>
          <w:snapToGrid/>
          <w:color w:val="000000"/>
        </w:rPr>
        <w:t>,</w:t>
      </w:r>
      <w:r w:rsidRPr="004A5A2C">
        <w:rPr>
          <w:rFonts w:eastAsia="ヒラギノ角ゴ Pro W3"/>
          <w:snapToGrid/>
          <w:color w:val="000000"/>
        </w:rPr>
        <w:t xml:space="preserve"> arguing that the judge was obligated under these circumstances to issue a specific order.  The mother further </w:t>
      </w:r>
      <w:r w:rsidRPr="004A5A2C">
        <w:rPr>
          <w:rFonts w:eastAsia="ヒラギノ角ゴ Pro W3"/>
          <w:snapToGrid/>
          <w:color w:val="000000"/>
        </w:rPr>
        <w:lastRenderedPageBreak/>
        <w:t xml:space="preserve">claimed that termination of her parental rights was premature because the issue of visitation had not been resolved.  The Appeals Court affirmed the termination decree and further held that the issue of visitation was not properly before </w:t>
      </w:r>
      <w:r w:rsidR="0080783E">
        <w:rPr>
          <w:rFonts w:eastAsia="ヒラギノ角ゴ Pro W3"/>
          <w:snapToGrid/>
          <w:color w:val="000000"/>
        </w:rPr>
        <w:t>it</w:t>
      </w:r>
      <w:r w:rsidRPr="004A5A2C">
        <w:rPr>
          <w:rFonts w:eastAsia="ヒラギノ角ゴ Pro W3"/>
          <w:snapToGrid/>
          <w:color w:val="000000"/>
        </w:rPr>
        <w:t xml:space="preserve"> because the mother </w:t>
      </w:r>
      <w:r w:rsidR="00BC1FED">
        <w:rPr>
          <w:rFonts w:eastAsia="ヒラギノ角ゴ Pro W3"/>
          <w:snapToGrid/>
          <w:color w:val="000000"/>
        </w:rPr>
        <w:t xml:space="preserve">had already </w:t>
      </w:r>
      <w:r w:rsidRPr="004A5A2C">
        <w:rPr>
          <w:rFonts w:eastAsia="ヒラギノ角ゴ Pro W3"/>
          <w:snapToGrid/>
          <w:color w:val="000000"/>
        </w:rPr>
        <w:t xml:space="preserve">effectively prevailed on the visitation question.  </w:t>
      </w:r>
    </w:p>
    <w:p w:rsidR="00BC1FED" w:rsidRDefault="00BC1FED" w:rsidP="00BC1FED">
      <w:pPr>
        <w:widowControl/>
        <w:ind w:left="240"/>
        <w:rPr>
          <w:rFonts w:eastAsia="ヒラギノ角ゴ Pro W3"/>
          <w:snapToGrid/>
          <w:color w:val="000000"/>
          <w:u w:val="single"/>
        </w:rPr>
      </w:pPr>
    </w:p>
    <w:p w:rsidR="004A5A2C" w:rsidRPr="004A5A2C" w:rsidRDefault="004A5A2C" w:rsidP="00BC1FED">
      <w:pPr>
        <w:widowControl/>
        <w:ind w:left="240"/>
        <w:rPr>
          <w:rFonts w:eastAsia="ヒラギノ角ゴ Pro W3"/>
          <w:snapToGrid/>
          <w:color w:val="000000"/>
        </w:rPr>
      </w:pPr>
      <w:r w:rsidRPr="004A5A2C">
        <w:rPr>
          <w:rFonts w:eastAsia="ヒラギノ角ゴ Pro W3"/>
          <w:snapToGrid/>
          <w:color w:val="000000"/>
        </w:rPr>
        <w:t xml:space="preserve">In a footnote, the panel commented that the mother </w:t>
      </w:r>
      <w:r w:rsidR="00BC1FED">
        <w:rPr>
          <w:rFonts w:eastAsia="ヒラギノ角ゴ Pro W3"/>
          <w:snapToGrid/>
          <w:color w:val="000000"/>
        </w:rPr>
        <w:t>retained</w:t>
      </w:r>
      <w:r w:rsidRPr="004A5A2C">
        <w:rPr>
          <w:rFonts w:eastAsia="ヒラギノ角ゴ Pro W3"/>
          <w:snapToGrid/>
          <w:color w:val="000000"/>
        </w:rPr>
        <w:t xml:space="preserve"> standing to pursue a </w:t>
      </w:r>
      <w:r w:rsidR="00BC1FED">
        <w:rPr>
          <w:rFonts w:eastAsia="ヒラギノ角ゴ Pro W3"/>
          <w:snapToGrid/>
          <w:color w:val="000000"/>
        </w:rPr>
        <w:t xml:space="preserve">post-termination </w:t>
      </w:r>
      <w:r w:rsidRPr="004A5A2C">
        <w:rPr>
          <w:rFonts w:eastAsia="ヒラギノ角ゴ Pro W3"/>
          <w:snapToGrid/>
          <w:color w:val="000000"/>
        </w:rPr>
        <w:t xml:space="preserve">visitation order in the trial court, in contrast to the mother in </w:t>
      </w:r>
      <w:r w:rsidRPr="004A5A2C">
        <w:rPr>
          <w:rFonts w:eastAsia="ヒラギノ角ゴ Pro W3"/>
          <w:snapToGrid/>
          <w:color w:val="000000"/>
          <w:u w:val="single"/>
        </w:rPr>
        <w:t>Adoption of Malik</w:t>
      </w:r>
      <w:r w:rsidRPr="004A5A2C">
        <w:rPr>
          <w:rFonts w:eastAsia="ヒラギノ角ゴ Pro W3"/>
          <w:snapToGrid/>
          <w:color w:val="000000"/>
        </w:rPr>
        <w:t xml:space="preserve">, 84 Mass. App. Ct. 436 (2013), because the judge here clearly expressed her intention to order visits </w:t>
      </w:r>
      <w:r w:rsidR="00BC1FED">
        <w:rPr>
          <w:rFonts w:eastAsia="ヒラギノ角ゴ Pro W3"/>
          <w:snapToGrid/>
          <w:color w:val="000000"/>
        </w:rPr>
        <w:t>and allow the mother access to the court for that purpose</w:t>
      </w:r>
      <w:r w:rsidRPr="004A5A2C">
        <w:rPr>
          <w:rFonts w:eastAsia="ヒラギノ角ゴ Pro W3"/>
          <w:snapToGrid/>
          <w:color w:val="000000"/>
        </w:rPr>
        <w:t>.  However, the panel went on to state that the mother would not retain such rights indefinitely.  The panel did not comment on mother’s right to appeal any adverse order regarding visitation, although presumably, the mother would not have standing to appeal post-</w:t>
      </w:r>
      <w:r w:rsidRPr="004A5A2C">
        <w:rPr>
          <w:rFonts w:eastAsia="ヒラギノ角ゴ Pro W3"/>
          <w:snapToGrid/>
          <w:color w:val="000000"/>
          <w:u w:val="single"/>
        </w:rPr>
        <w:t>Malik</w:t>
      </w:r>
      <w:r w:rsidRPr="004A5A2C">
        <w:rPr>
          <w:rFonts w:eastAsia="ヒラギノ角ゴ Pro W3"/>
          <w:snapToGrid/>
          <w:color w:val="000000"/>
        </w:rPr>
        <w:t xml:space="preserve">. </w:t>
      </w:r>
    </w:p>
    <w:p w:rsidR="004A5A2C" w:rsidRPr="004A5A2C" w:rsidRDefault="004A5A2C" w:rsidP="004A5A2C">
      <w:pPr>
        <w:widowControl/>
        <w:ind w:left="240"/>
        <w:rPr>
          <w:rFonts w:eastAsia="ヒラギノ角ゴ Pro W3"/>
          <w:snapToGrid/>
          <w:color w:val="000000"/>
        </w:rPr>
      </w:pPr>
    </w:p>
    <w:p w:rsidR="001C3C99" w:rsidRDefault="004A5A2C" w:rsidP="004A5A2C">
      <w:pPr>
        <w:widowControl/>
        <w:numPr>
          <w:ilvl w:val="0"/>
          <w:numId w:val="39"/>
        </w:numPr>
        <w:ind w:hanging="240"/>
        <w:rPr>
          <w:rFonts w:eastAsia="ヒラギノ角ゴ Pro W3"/>
          <w:snapToGrid/>
          <w:color w:val="000000"/>
        </w:rPr>
      </w:pPr>
      <w:r w:rsidRPr="004A5A2C">
        <w:rPr>
          <w:rFonts w:eastAsia="ヒラギノ角ゴ Pro W3"/>
          <w:snapToGrid/>
          <w:color w:val="000000"/>
          <w:u w:val="single"/>
        </w:rPr>
        <w:t>Adoption of Anya</w:t>
      </w:r>
      <w:r w:rsidRPr="004A5A2C">
        <w:rPr>
          <w:rFonts w:eastAsia="ヒラギノ角ゴ Pro W3"/>
          <w:snapToGrid/>
          <w:color w:val="000000"/>
        </w:rPr>
        <w:t xml:space="preserve">, 84 Mass. App. Ct. 1128, No. 13-P-1011 (January 15, 2014).  DCF obtained custody of Anya a week after her birth. </w:t>
      </w:r>
      <w:r w:rsidR="001C3C99">
        <w:rPr>
          <w:rFonts w:eastAsia="ヒラギノ角ゴ Pro W3"/>
          <w:snapToGrid/>
          <w:color w:val="000000"/>
        </w:rPr>
        <w:t>The mother then disappeared</w:t>
      </w:r>
      <w:r w:rsidRPr="004A5A2C">
        <w:rPr>
          <w:rFonts w:eastAsia="ヒラギノ角ゴ Pro W3"/>
          <w:snapToGrid/>
          <w:color w:val="000000"/>
        </w:rPr>
        <w:t xml:space="preserve"> for four months. </w:t>
      </w:r>
      <w:r w:rsidR="001C3C99">
        <w:rPr>
          <w:rFonts w:eastAsia="ヒラギノ角ゴ Pro W3"/>
          <w:snapToGrid/>
          <w:color w:val="000000"/>
        </w:rPr>
        <w:t xml:space="preserve"> Two months later – a total of six months after DCF filed the care and protection case – the J</w:t>
      </w:r>
      <w:r w:rsidRPr="004A5A2C">
        <w:rPr>
          <w:rFonts w:eastAsia="ヒラギノ角ゴ Pro W3"/>
          <w:snapToGrid/>
          <w:color w:val="000000"/>
        </w:rPr>
        <w:t xml:space="preserve">uvenile Court terminated the mother’s parental rights. </w:t>
      </w:r>
      <w:r w:rsidR="001C3C99">
        <w:rPr>
          <w:rFonts w:eastAsia="ヒラギノ角ゴ Pro W3"/>
          <w:snapToGrid/>
          <w:color w:val="000000"/>
        </w:rPr>
        <w:t xml:space="preserve"> </w:t>
      </w:r>
      <w:r w:rsidRPr="004A5A2C">
        <w:rPr>
          <w:rFonts w:eastAsia="ヒラギノ角ゴ Pro W3"/>
          <w:snapToGrid/>
          <w:color w:val="000000"/>
        </w:rPr>
        <w:t xml:space="preserve">On appeal, the mother argued that six months between removal and termination was too short a time and </w:t>
      </w:r>
      <w:r w:rsidR="001C3C99">
        <w:rPr>
          <w:rFonts w:eastAsia="ヒラギノ角ゴ Pro W3"/>
          <w:snapToGrid/>
          <w:color w:val="000000"/>
        </w:rPr>
        <w:t>violated</w:t>
      </w:r>
      <w:r w:rsidRPr="004A5A2C">
        <w:rPr>
          <w:rFonts w:eastAsia="ヒラギノ角ゴ Pro W3"/>
          <w:snapToGrid/>
          <w:color w:val="000000"/>
        </w:rPr>
        <w:t xml:space="preserve"> the Adoption and Safe Families Act (“ASFA”)</w:t>
      </w:r>
      <w:r w:rsidR="001C3C99">
        <w:rPr>
          <w:rFonts w:eastAsia="ヒラギノ角ゴ Pro W3"/>
          <w:snapToGrid/>
          <w:color w:val="000000"/>
        </w:rPr>
        <w:t xml:space="preserve">.  She also argued </w:t>
      </w:r>
      <w:r w:rsidRPr="004A5A2C">
        <w:rPr>
          <w:rFonts w:eastAsia="ヒラギノ角ゴ Pro W3"/>
          <w:snapToGrid/>
          <w:color w:val="000000"/>
        </w:rPr>
        <w:t xml:space="preserve">that she had insufficient time to perform the tasks on her service plan. </w:t>
      </w:r>
      <w:r w:rsidR="001C3C99">
        <w:rPr>
          <w:rFonts w:eastAsia="ヒラギノ角ゴ Pro W3"/>
          <w:snapToGrid/>
          <w:color w:val="000000"/>
        </w:rPr>
        <w:t xml:space="preserve"> (The panel noted that the mother hadn’t visited the child or engaged in services during most of that time.)  </w:t>
      </w:r>
      <w:r w:rsidRPr="004A5A2C">
        <w:rPr>
          <w:rFonts w:eastAsia="ヒラギノ角ゴ Pro W3"/>
          <w:snapToGrid/>
          <w:color w:val="000000"/>
        </w:rPr>
        <w:t xml:space="preserve">The mother further argued that her </w:t>
      </w:r>
      <w:r w:rsidR="001923B2">
        <w:rPr>
          <w:rFonts w:eastAsia="ヒラギノ角ゴ Pro W3"/>
          <w:snapToGrid/>
          <w:color w:val="000000"/>
        </w:rPr>
        <w:t>less-than-</w:t>
      </w:r>
      <w:r w:rsidRPr="004A5A2C">
        <w:rPr>
          <w:rFonts w:eastAsia="ヒラギノ角ゴ Pro W3"/>
          <w:snapToGrid/>
          <w:color w:val="000000"/>
        </w:rPr>
        <w:t xml:space="preserve">ninety-minute termination trial was too brief and </w:t>
      </w:r>
      <w:r w:rsidR="001923B2">
        <w:rPr>
          <w:rFonts w:eastAsia="ヒラギノ角ゴ Pro W3"/>
          <w:snapToGrid/>
          <w:color w:val="000000"/>
        </w:rPr>
        <w:t>violated</w:t>
      </w:r>
      <w:r w:rsidRPr="004A5A2C">
        <w:rPr>
          <w:rFonts w:eastAsia="ヒラギノ角ゴ Pro W3"/>
          <w:snapToGrid/>
          <w:color w:val="000000"/>
        </w:rPr>
        <w:t xml:space="preserve"> her due process rights. The Appeals Court </w:t>
      </w:r>
      <w:r w:rsidR="001923B2">
        <w:rPr>
          <w:rFonts w:eastAsia="ヒラギノ角ゴ Pro W3"/>
          <w:snapToGrid/>
          <w:color w:val="000000"/>
        </w:rPr>
        <w:t>disagreed.  It affirmed the termination decree</w:t>
      </w:r>
      <w:r w:rsidR="001C3C99">
        <w:rPr>
          <w:rFonts w:eastAsia="ヒラギノ角ゴ Pro W3"/>
          <w:snapToGrid/>
          <w:color w:val="000000"/>
        </w:rPr>
        <w:t>, reasoning</w:t>
      </w:r>
      <w:r w:rsidRPr="004A5A2C">
        <w:rPr>
          <w:rFonts w:eastAsia="ヒラギノ角ゴ Pro W3"/>
          <w:snapToGrid/>
          <w:color w:val="000000"/>
        </w:rPr>
        <w:t xml:space="preserve"> that ASFA did not impose restrictions on the spee</w:t>
      </w:r>
      <w:r w:rsidR="001C3C99">
        <w:rPr>
          <w:rFonts w:eastAsia="ヒラギノ角ゴ Pro W3"/>
          <w:snapToGrid/>
          <w:color w:val="000000"/>
        </w:rPr>
        <w:t xml:space="preserve">d with which DCF could initiate </w:t>
      </w:r>
      <w:r w:rsidRPr="004A5A2C">
        <w:rPr>
          <w:rFonts w:eastAsia="ヒラギノ角ゴ Pro W3"/>
          <w:snapToGrid/>
          <w:color w:val="000000"/>
        </w:rPr>
        <w:t xml:space="preserve">termination proceedings. </w:t>
      </w:r>
      <w:r w:rsidR="001C3C99">
        <w:rPr>
          <w:rFonts w:eastAsia="ヒラギノ角ゴ Pro W3"/>
          <w:snapToGrid/>
          <w:color w:val="000000"/>
        </w:rPr>
        <w:t xml:space="preserve"> </w:t>
      </w:r>
      <w:r w:rsidRPr="004A5A2C">
        <w:rPr>
          <w:rFonts w:eastAsia="ヒラギノ角ゴ Pro W3"/>
          <w:snapToGrid/>
          <w:color w:val="000000"/>
        </w:rPr>
        <w:t>Add</w:t>
      </w:r>
      <w:r w:rsidR="001C3C99">
        <w:rPr>
          <w:rFonts w:eastAsia="ヒラギノ角ゴ Pro W3"/>
          <w:snapToGrid/>
          <w:color w:val="000000"/>
        </w:rPr>
        <w:t xml:space="preserve">itionally, the panel noted that, while the trial was short, it did not violate mother’s right to </w:t>
      </w:r>
      <w:r w:rsidRPr="004A5A2C">
        <w:rPr>
          <w:rFonts w:eastAsia="ヒラギノ角ゴ Pro W3"/>
          <w:snapToGrid/>
          <w:color w:val="000000"/>
        </w:rPr>
        <w:t>due process</w:t>
      </w:r>
      <w:r w:rsidR="001923B2">
        <w:rPr>
          <w:rFonts w:eastAsia="ヒラギノ角ゴ Pro W3"/>
          <w:snapToGrid/>
          <w:color w:val="000000"/>
        </w:rPr>
        <w:t>; m</w:t>
      </w:r>
      <w:r w:rsidR="001C3C99">
        <w:rPr>
          <w:rFonts w:eastAsia="ヒラギノ角ゴ Pro W3"/>
          <w:snapToGrid/>
          <w:color w:val="000000"/>
        </w:rPr>
        <w:t xml:space="preserve">other had counsel, the opportunity to testify and cross-examine DCF’s witnesses, and the opportunity to present her own witnesses and evidence (which she did not take advantage of).  </w:t>
      </w:r>
    </w:p>
    <w:p w:rsidR="001C3C99" w:rsidRDefault="001C3C99" w:rsidP="001C3C99">
      <w:pPr>
        <w:widowControl/>
        <w:ind w:left="240"/>
        <w:rPr>
          <w:rFonts w:eastAsia="ヒラギノ角ゴ Pro W3"/>
          <w:snapToGrid/>
          <w:color w:val="000000"/>
          <w:u w:val="single"/>
        </w:rPr>
      </w:pPr>
    </w:p>
    <w:p w:rsidR="004A5A2C" w:rsidRPr="004A5A2C" w:rsidRDefault="001C3C99" w:rsidP="001C3C99">
      <w:pPr>
        <w:widowControl/>
        <w:ind w:left="240"/>
        <w:rPr>
          <w:rFonts w:eastAsia="ヒラギノ角ゴ Pro W3"/>
          <w:snapToGrid/>
          <w:color w:val="000000"/>
        </w:rPr>
      </w:pPr>
      <w:proofErr w:type="gramStart"/>
      <w:r>
        <w:rPr>
          <w:rFonts w:eastAsia="ヒラギノ角ゴ Pro W3"/>
          <w:snapToGrid/>
          <w:color w:val="000000"/>
        </w:rPr>
        <w:t>The take-away?</w:t>
      </w:r>
      <w:proofErr w:type="gramEnd"/>
      <w:r>
        <w:rPr>
          <w:rFonts w:eastAsia="ヒラギノ角ゴ Pro W3"/>
          <w:snapToGrid/>
          <w:color w:val="000000"/>
        </w:rPr>
        <w:t xml:space="preserve">  A termination trial </w:t>
      </w:r>
      <w:r w:rsidR="001923B2">
        <w:rPr>
          <w:rFonts w:eastAsia="ヒラギノ角ゴ Pro W3"/>
          <w:snapToGrid/>
          <w:color w:val="000000"/>
        </w:rPr>
        <w:t>six months after filing – at least in the context of a parent who fails to visit or engage in services – does not violate ASFA, chapter 119, or due process.</w:t>
      </w:r>
    </w:p>
    <w:p w:rsidR="004A5A2C" w:rsidRPr="004A5A2C" w:rsidRDefault="004A5A2C" w:rsidP="004A5A2C">
      <w:pPr>
        <w:widowControl/>
        <w:rPr>
          <w:rFonts w:eastAsia="ヒラギノ角ゴ Pro W3"/>
          <w:snapToGrid/>
          <w:color w:val="000000"/>
        </w:rPr>
      </w:pPr>
    </w:p>
    <w:p w:rsidR="004A5A2C" w:rsidRDefault="004A5A2C" w:rsidP="004A5A2C">
      <w:pPr>
        <w:widowControl/>
        <w:numPr>
          <w:ilvl w:val="0"/>
          <w:numId w:val="39"/>
        </w:numPr>
        <w:ind w:hanging="240"/>
        <w:rPr>
          <w:rFonts w:eastAsia="ヒラギノ角ゴ Pro W3"/>
          <w:snapToGrid/>
          <w:color w:val="000000"/>
        </w:rPr>
      </w:pPr>
      <w:r w:rsidRPr="004A5A2C">
        <w:rPr>
          <w:rFonts w:eastAsia="ヒラギノ角ゴ Pro W3"/>
          <w:snapToGrid/>
          <w:color w:val="000000"/>
          <w:u w:val="single"/>
        </w:rPr>
        <w:t xml:space="preserve">Care and Protection of </w:t>
      </w:r>
      <w:proofErr w:type="spellStart"/>
      <w:r w:rsidRPr="004A5A2C">
        <w:rPr>
          <w:rFonts w:eastAsia="ヒラギノ角ゴ Pro W3"/>
          <w:snapToGrid/>
          <w:color w:val="000000"/>
          <w:u w:val="single"/>
        </w:rPr>
        <w:t>Zerlinda</w:t>
      </w:r>
      <w:proofErr w:type="spellEnd"/>
      <w:r w:rsidRPr="004A5A2C">
        <w:rPr>
          <w:rFonts w:eastAsia="ヒラギノ角ゴ Pro W3"/>
          <w:snapToGrid/>
          <w:color w:val="000000"/>
        </w:rPr>
        <w:t xml:space="preserve">, 84 Mass. App. Ct. 1129, No. 13-P-0527 (January 21, 2014). After both parents stipulated to unfitness in November 2007, the court granted DCF custody of the child, and DCF placed the child in the grandmother’s home in New Hampshire pursuant to the ICPC.  In March 2011, New Hampshire DCYF determined that the grandmother’s home was no longer a suitable placement, and DCF removed the child. The grandmother did not appeal the DCYF’s decision. Instead, one year later, the grandmother moved to intervene in the Juvenile Court proceeding in Massachusetts, claiming that DCF interfered with her right to visit the child.  Her motion was denied, and she appealed.  The Appeals Court affirmed, </w:t>
      </w:r>
      <w:r w:rsidR="00327C4D">
        <w:rPr>
          <w:rFonts w:eastAsia="ヒラギノ角ゴ Pro W3"/>
          <w:snapToGrid/>
          <w:color w:val="000000"/>
        </w:rPr>
        <w:t>noting</w:t>
      </w:r>
      <w:r w:rsidRPr="004A5A2C">
        <w:rPr>
          <w:rFonts w:eastAsia="ヒラギノ角ゴ Pro W3"/>
          <w:snapToGrid/>
          <w:color w:val="000000"/>
        </w:rPr>
        <w:t xml:space="preserve"> that the grandmother failed to identify a constitutional, statutory, or common law principle indicating a right to intervene.</w:t>
      </w:r>
      <w:r w:rsidR="007C2961">
        <w:rPr>
          <w:rFonts w:eastAsia="ヒラギノ角ゴ Pro W3"/>
          <w:snapToGrid/>
          <w:color w:val="000000"/>
        </w:rPr>
        <w:t xml:space="preserve"> </w:t>
      </w:r>
      <w:r w:rsidRPr="004A5A2C">
        <w:rPr>
          <w:rFonts w:eastAsia="ヒラギノ角ゴ Pro W3"/>
          <w:snapToGrid/>
          <w:color w:val="000000"/>
        </w:rPr>
        <w:t xml:space="preserve"> The panel further held that intervention is not the appropriate alternative to an action seeking review of an administrative decision.  The panel noted that the grandmother could petition for visitation with the child pursuant to G. L. c. 119, § 26B, but she had not done so.</w:t>
      </w:r>
    </w:p>
    <w:p w:rsidR="007C2961" w:rsidRDefault="007C2961" w:rsidP="007C2961">
      <w:pPr>
        <w:widowControl/>
        <w:ind w:left="240"/>
        <w:rPr>
          <w:rFonts w:eastAsia="ヒラギノ角ゴ Pro W3"/>
          <w:snapToGrid/>
          <w:color w:val="000000"/>
          <w:u w:val="single"/>
        </w:rPr>
      </w:pPr>
    </w:p>
    <w:p w:rsidR="007C2961" w:rsidRPr="007C2961" w:rsidRDefault="007C2961" w:rsidP="007C2961">
      <w:pPr>
        <w:widowControl/>
        <w:ind w:left="240"/>
        <w:rPr>
          <w:rFonts w:eastAsia="ヒラギノ角ゴ Pro W3"/>
          <w:snapToGrid/>
          <w:color w:val="000000"/>
        </w:rPr>
      </w:pPr>
      <w:r>
        <w:rPr>
          <w:rFonts w:eastAsia="ヒラギノ角ゴ Pro W3"/>
          <w:snapToGrid/>
          <w:color w:val="000000"/>
        </w:rPr>
        <w:lastRenderedPageBreak/>
        <w:t xml:space="preserve">There are </w:t>
      </w:r>
      <w:r w:rsidR="00672669">
        <w:rPr>
          <w:rFonts w:eastAsia="ヒラギノ角ゴ Pro W3"/>
          <w:snapToGrid/>
          <w:color w:val="000000"/>
        </w:rPr>
        <w:t>a couple of</w:t>
      </w:r>
      <w:r>
        <w:rPr>
          <w:rFonts w:eastAsia="ヒラギノ角ゴ Pro W3"/>
          <w:snapToGrid/>
          <w:color w:val="000000"/>
        </w:rPr>
        <w:t xml:space="preserve"> take-</w:t>
      </w:r>
      <w:proofErr w:type="spellStart"/>
      <w:r>
        <w:rPr>
          <w:rFonts w:eastAsia="ヒラギノ角ゴ Pro W3"/>
          <w:snapToGrid/>
          <w:color w:val="000000"/>
        </w:rPr>
        <w:t>aways</w:t>
      </w:r>
      <w:proofErr w:type="spellEnd"/>
      <w:r>
        <w:rPr>
          <w:rFonts w:eastAsia="ヒラギノ角ゴ Pro W3"/>
          <w:snapToGrid/>
          <w:color w:val="000000"/>
        </w:rPr>
        <w:t xml:space="preserve"> from </w:t>
      </w:r>
      <w:proofErr w:type="spellStart"/>
      <w:r w:rsidRPr="007C2961">
        <w:rPr>
          <w:rFonts w:eastAsia="ヒラギノ角ゴ Pro W3"/>
          <w:snapToGrid/>
          <w:color w:val="000000"/>
          <w:u w:val="single"/>
        </w:rPr>
        <w:t>Zerlinda</w:t>
      </w:r>
      <w:proofErr w:type="spellEnd"/>
      <w:r>
        <w:rPr>
          <w:rFonts w:eastAsia="ヒラギノ角ゴ Pro W3"/>
          <w:snapToGrid/>
          <w:color w:val="000000"/>
        </w:rPr>
        <w:t xml:space="preserve">.  First, relatives aggrieved by out-of-state agency decisions must appeal those decisions under that state’s rules; </w:t>
      </w:r>
      <w:r w:rsidR="005B59FD">
        <w:rPr>
          <w:rFonts w:eastAsia="ヒラギノ角ゴ Pro W3"/>
          <w:snapToGrid/>
          <w:color w:val="000000"/>
        </w:rPr>
        <w:t>our</w:t>
      </w:r>
      <w:r>
        <w:rPr>
          <w:rFonts w:eastAsia="ヒラギノ角ゴ Pro W3"/>
          <w:snapToGrid/>
          <w:color w:val="000000"/>
        </w:rPr>
        <w:t xml:space="preserve"> Appeals Court is </w:t>
      </w:r>
      <w:r w:rsidR="00672669">
        <w:rPr>
          <w:rFonts w:eastAsia="ヒラギノ角ゴ Pro W3"/>
          <w:snapToGrid/>
          <w:color w:val="000000"/>
        </w:rPr>
        <w:t>not the proper venue to appeal out-of-state</w:t>
      </w:r>
      <w:r>
        <w:rPr>
          <w:rFonts w:eastAsia="ヒラギノ角ゴ Pro W3"/>
          <w:snapToGrid/>
          <w:color w:val="000000"/>
        </w:rPr>
        <w:t xml:space="preserve"> agency decision</w:t>
      </w:r>
      <w:r w:rsidR="00672669">
        <w:rPr>
          <w:rFonts w:eastAsia="ヒラギノ角ゴ Pro W3"/>
          <w:snapToGrid/>
          <w:color w:val="000000"/>
        </w:rPr>
        <w:t>s</w:t>
      </w:r>
      <w:r>
        <w:rPr>
          <w:rFonts w:eastAsia="ヒラギノ角ゴ Pro W3"/>
          <w:snapToGrid/>
          <w:color w:val="000000"/>
        </w:rPr>
        <w:t xml:space="preserve">. Second, </w:t>
      </w:r>
      <w:r w:rsidR="00672669">
        <w:rPr>
          <w:rFonts w:eastAsia="ヒラギノ角ゴ Pro W3"/>
          <w:snapToGrid/>
          <w:color w:val="000000"/>
        </w:rPr>
        <w:t>p</w:t>
      </w:r>
      <w:r w:rsidR="00DD6CF5">
        <w:rPr>
          <w:rFonts w:eastAsia="ヒラギノ角ゴ Pro W3"/>
          <w:snapToGrid/>
          <w:color w:val="000000"/>
        </w:rPr>
        <w:t xml:space="preserve">otential </w:t>
      </w:r>
      <w:proofErr w:type="spellStart"/>
      <w:r w:rsidR="00DD6CF5">
        <w:rPr>
          <w:rFonts w:eastAsia="ヒラギノ角ゴ Pro W3"/>
          <w:snapToGrid/>
          <w:color w:val="000000"/>
        </w:rPr>
        <w:t>intervenors</w:t>
      </w:r>
      <w:proofErr w:type="spellEnd"/>
      <w:r w:rsidR="00DD6CF5">
        <w:rPr>
          <w:rFonts w:eastAsia="ヒラギノ角ゴ Pro W3"/>
          <w:snapToGrid/>
          <w:color w:val="000000"/>
        </w:rPr>
        <w:t xml:space="preserve"> </w:t>
      </w:r>
      <w:r w:rsidR="005B59FD">
        <w:rPr>
          <w:rFonts w:eastAsia="ヒラギノ角ゴ Pro W3"/>
          <w:snapToGrid/>
          <w:color w:val="000000"/>
        </w:rPr>
        <w:t>should</w:t>
      </w:r>
      <w:r w:rsidR="00DD6CF5">
        <w:rPr>
          <w:rFonts w:eastAsia="ヒラギノ角ゴ Pro W3"/>
          <w:snapToGrid/>
          <w:color w:val="000000"/>
        </w:rPr>
        <w:t xml:space="preserve"> first exhaust other remedies before claiming that intervention is all that remains.  Had the grandmother in </w:t>
      </w:r>
      <w:proofErr w:type="spellStart"/>
      <w:r w:rsidR="00DD6CF5" w:rsidRPr="005B59FD">
        <w:rPr>
          <w:rFonts w:eastAsia="ヒラギノ角ゴ Pro W3"/>
          <w:snapToGrid/>
          <w:color w:val="000000"/>
          <w:u w:val="single"/>
        </w:rPr>
        <w:t>Zerlinda</w:t>
      </w:r>
      <w:proofErr w:type="spellEnd"/>
      <w:r w:rsidR="00DD6CF5">
        <w:rPr>
          <w:rFonts w:eastAsia="ヒラギノ角ゴ Pro W3"/>
          <w:snapToGrid/>
          <w:color w:val="000000"/>
        </w:rPr>
        <w:t xml:space="preserve"> moved for visitation under G.L. c. 119, § 26B or petitioned for guardianship and been denied, she would have had a stronger argument for intervention. </w:t>
      </w:r>
    </w:p>
    <w:p w:rsidR="004A5A2C" w:rsidRPr="004A5A2C" w:rsidRDefault="004A5A2C" w:rsidP="004A5A2C">
      <w:pPr>
        <w:widowControl/>
        <w:rPr>
          <w:rFonts w:eastAsia="ヒラギノ角ゴ Pro W3"/>
          <w:snapToGrid/>
          <w:color w:val="000000"/>
        </w:rPr>
      </w:pPr>
    </w:p>
    <w:p w:rsidR="00D04014" w:rsidRDefault="004A5A2C" w:rsidP="004A5A2C">
      <w:pPr>
        <w:widowControl/>
        <w:numPr>
          <w:ilvl w:val="0"/>
          <w:numId w:val="39"/>
        </w:numPr>
        <w:ind w:hanging="240"/>
        <w:rPr>
          <w:rFonts w:eastAsia="ヒラギノ角ゴ Pro W3"/>
          <w:snapToGrid/>
          <w:color w:val="000000"/>
        </w:rPr>
      </w:pPr>
      <w:r w:rsidRPr="004A5A2C">
        <w:rPr>
          <w:rFonts w:eastAsia="ヒラギノ角ゴ Pro W3"/>
          <w:snapToGrid/>
          <w:color w:val="000000"/>
          <w:u w:val="single"/>
        </w:rPr>
        <w:t>Adoption of Calvin</w:t>
      </w:r>
      <w:r w:rsidRPr="004A5A2C">
        <w:rPr>
          <w:rFonts w:eastAsia="ヒラギノ角ゴ Pro W3"/>
          <w:snapToGrid/>
          <w:color w:val="000000"/>
        </w:rPr>
        <w:t xml:space="preserve">, 85 Mass. App. Ct. 1105, No. 13-P-147 (March 12, 2014).  The mother appealed the termination of her parental rights as to two of her children, Calvin and Gail, </w:t>
      </w:r>
      <w:r w:rsidR="00D04014">
        <w:rPr>
          <w:rFonts w:eastAsia="ヒラギノ角ゴ Pro W3"/>
          <w:snapToGrid/>
          <w:color w:val="000000"/>
        </w:rPr>
        <w:t xml:space="preserve">alleging </w:t>
      </w:r>
      <w:r w:rsidRPr="004A5A2C">
        <w:rPr>
          <w:rFonts w:eastAsia="ヒラギノ角ゴ Pro W3"/>
          <w:snapToGrid/>
          <w:color w:val="000000"/>
        </w:rPr>
        <w:t xml:space="preserve">ineffective assistance of counsel. The mother argued that her </w:t>
      </w:r>
      <w:r w:rsidR="00D04014">
        <w:rPr>
          <w:rFonts w:eastAsia="ヒラギノ角ゴ Pro W3"/>
          <w:snapToGrid/>
          <w:color w:val="000000"/>
        </w:rPr>
        <w:t xml:space="preserve">trial </w:t>
      </w:r>
      <w:r w:rsidRPr="004A5A2C">
        <w:rPr>
          <w:rFonts w:eastAsia="ヒラギノ角ゴ Pro W3"/>
          <w:snapToGrid/>
          <w:color w:val="000000"/>
        </w:rPr>
        <w:t xml:space="preserve">counsel knowingly called a medical expert witness who testified using outdated medical and forensic theory and testified, contrary to mother’s own testimony, that Calvin sustained injuries consistent with child abuse. </w:t>
      </w:r>
      <w:r w:rsidR="00327C4D">
        <w:rPr>
          <w:rFonts w:eastAsia="ヒラギノ角ゴ Pro W3"/>
          <w:snapToGrid/>
          <w:color w:val="000000"/>
        </w:rPr>
        <w:t xml:space="preserve"> </w:t>
      </w:r>
      <w:r w:rsidRPr="004A5A2C">
        <w:rPr>
          <w:rFonts w:eastAsia="ヒラギノ角ゴ Pro W3"/>
          <w:snapToGrid/>
          <w:color w:val="000000"/>
        </w:rPr>
        <w:t xml:space="preserve">The mother argued that the court would not have terminated her rights if not for this expert testimony. </w:t>
      </w:r>
      <w:r w:rsidR="00327C4D">
        <w:rPr>
          <w:rFonts w:eastAsia="ヒラギノ角ゴ Pro W3"/>
          <w:snapToGrid/>
          <w:color w:val="000000"/>
        </w:rPr>
        <w:t xml:space="preserve"> </w:t>
      </w:r>
      <w:r w:rsidRPr="004A5A2C">
        <w:rPr>
          <w:rFonts w:eastAsia="ヒラギノ角ゴ Pro W3"/>
          <w:snapToGrid/>
          <w:color w:val="000000"/>
        </w:rPr>
        <w:t xml:space="preserve">In support of her claim, the mother pointed to a subsequent termination trial concerning another of her children in which the trial judge did not hear from this expert and concluded that neither the mother nor her boyfriend abused Calvin. </w:t>
      </w:r>
      <w:r w:rsidR="00D04014">
        <w:rPr>
          <w:rFonts w:eastAsia="ヒラギノ角ゴ Pro W3"/>
          <w:snapToGrid/>
          <w:color w:val="000000"/>
        </w:rPr>
        <w:t xml:space="preserve"> </w:t>
      </w:r>
      <w:r w:rsidRPr="004A5A2C">
        <w:rPr>
          <w:rFonts w:eastAsia="ヒラギノ角ゴ Pro W3"/>
          <w:snapToGrid/>
          <w:color w:val="000000"/>
        </w:rPr>
        <w:t xml:space="preserve">The </w:t>
      </w:r>
      <w:r w:rsidR="00327C4D">
        <w:rPr>
          <w:rFonts w:eastAsia="ヒラギノ角ゴ Pro W3"/>
          <w:snapToGrid/>
          <w:color w:val="000000"/>
        </w:rPr>
        <w:t>Appeals Court affirmed the termination.  The panel held</w:t>
      </w:r>
      <w:r w:rsidR="00D04014">
        <w:rPr>
          <w:rFonts w:eastAsia="ヒラギノ角ゴ Pro W3"/>
          <w:snapToGrid/>
          <w:color w:val="000000"/>
        </w:rPr>
        <w:t xml:space="preserve"> </w:t>
      </w:r>
      <w:r w:rsidRPr="004A5A2C">
        <w:rPr>
          <w:rFonts w:eastAsia="ヒラギノ角ゴ Pro W3"/>
          <w:snapToGrid/>
          <w:color w:val="000000"/>
        </w:rPr>
        <w:t xml:space="preserve">that </w:t>
      </w:r>
      <w:r w:rsidR="00D04014">
        <w:rPr>
          <w:rFonts w:eastAsia="ヒラギノ角ゴ Pro W3"/>
          <w:snapToGrid/>
          <w:color w:val="000000"/>
        </w:rPr>
        <w:t xml:space="preserve">trial </w:t>
      </w:r>
      <w:proofErr w:type="spellStart"/>
      <w:r w:rsidR="00D04014">
        <w:rPr>
          <w:rFonts w:eastAsia="ヒラギノ角ゴ Pro W3"/>
          <w:snapToGrid/>
          <w:color w:val="000000"/>
        </w:rPr>
        <w:t>counsel’s</w:t>
      </w:r>
      <w:proofErr w:type="spellEnd"/>
      <w:r w:rsidRPr="004A5A2C">
        <w:rPr>
          <w:rFonts w:eastAsia="ヒラギノ角ゴ Pro W3"/>
          <w:snapToGrid/>
          <w:color w:val="000000"/>
        </w:rPr>
        <w:t xml:space="preserve"> decision to call the expert wasn’t manifestly unreasonable, </w:t>
      </w:r>
      <w:r w:rsidR="00D04014">
        <w:rPr>
          <w:rFonts w:eastAsia="ヒラギノ角ゴ Pro W3"/>
          <w:snapToGrid/>
          <w:color w:val="000000"/>
        </w:rPr>
        <w:t xml:space="preserve">because the expert’s opinion “might form a basis for an argument that the injuries were inflicted at times when Calvin was not in his mother’s care, or that she was not the perpetrator.”  Even if permitting that expert to testify was </w:t>
      </w:r>
      <w:r w:rsidR="000D4F6F">
        <w:rPr>
          <w:rFonts w:eastAsia="ヒラギノ角ゴ Pro W3"/>
          <w:snapToGrid/>
          <w:color w:val="000000"/>
        </w:rPr>
        <w:t>poor lawyering</w:t>
      </w:r>
      <w:r w:rsidR="00D04014">
        <w:rPr>
          <w:rFonts w:eastAsia="ヒラギノ角ゴ Pro W3"/>
          <w:snapToGrid/>
          <w:color w:val="000000"/>
        </w:rPr>
        <w:t xml:space="preserve">, it was harmless under the second prong of </w:t>
      </w:r>
      <w:proofErr w:type="spellStart"/>
      <w:r w:rsidR="00D04014" w:rsidRPr="000D4F6F">
        <w:rPr>
          <w:rFonts w:eastAsia="ヒラギノ角ゴ Pro W3"/>
          <w:snapToGrid/>
          <w:color w:val="000000"/>
          <w:u w:val="single"/>
        </w:rPr>
        <w:t>Saferian</w:t>
      </w:r>
      <w:proofErr w:type="spellEnd"/>
      <w:r w:rsidR="00D04014">
        <w:rPr>
          <w:rFonts w:eastAsia="ヒラギノ角ゴ Pro W3"/>
          <w:snapToGrid/>
          <w:color w:val="000000"/>
        </w:rPr>
        <w:t xml:space="preserve"> because </w:t>
      </w:r>
      <w:r w:rsidR="000D4F6F">
        <w:rPr>
          <w:rFonts w:eastAsia="ヒラギノ角ゴ Pro W3"/>
          <w:snapToGrid/>
          <w:color w:val="000000"/>
        </w:rPr>
        <w:t>the expert’s testimony</w:t>
      </w:r>
      <w:r w:rsidR="00D04014">
        <w:rPr>
          <w:rFonts w:eastAsia="ヒラギノ角ゴ Pro W3"/>
          <w:snapToGrid/>
          <w:color w:val="000000"/>
        </w:rPr>
        <w:t xml:space="preserve"> was </w:t>
      </w:r>
      <w:r w:rsidRPr="004A5A2C">
        <w:rPr>
          <w:rFonts w:eastAsia="ヒラギノ角ゴ Pro W3"/>
          <w:snapToGrid/>
          <w:color w:val="000000"/>
        </w:rPr>
        <w:t xml:space="preserve">cumulative of the evidence submitted by DCF.  </w:t>
      </w:r>
    </w:p>
    <w:p w:rsidR="00D04014" w:rsidRDefault="00D04014" w:rsidP="00D04014">
      <w:pPr>
        <w:widowControl/>
        <w:ind w:left="240"/>
        <w:rPr>
          <w:rFonts w:eastAsia="ヒラギノ角ゴ Pro W3"/>
          <w:snapToGrid/>
          <w:color w:val="000000"/>
        </w:rPr>
      </w:pPr>
    </w:p>
    <w:p w:rsidR="004A5A2C" w:rsidRPr="00D04014" w:rsidRDefault="00D04014" w:rsidP="00D04014">
      <w:pPr>
        <w:widowControl/>
        <w:ind w:left="240"/>
        <w:rPr>
          <w:rFonts w:eastAsia="ヒラギノ角ゴ Pro W3"/>
          <w:snapToGrid/>
          <w:color w:val="000000"/>
        </w:rPr>
      </w:pPr>
      <w:r>
        <w:rPr>
          <w:rFonts w:eastAsia="ヒラギノ角ゴ Pro W3"/>
          <w:snapToGrid/>
          <w:color w:val="000000"/>
        </w:rPr>
        <w:t xml:space="preserve">One aspect of </w:t>
      </w:r>
      <w:r w:rsidRPr="00D04014">
        <w:rPr>
          <w:rFonts w:eastAsia="ヒラギノ角ゴ Pro W3"/>
          <w:snapToGrid/>
          <w:color w:val="000000"/>
          <w:u w:val="single"/>
        </w:rPr>
        <w:t>Calvin</w:t>
      </w:r>
      <w:r>
        <w:rPr>
          <w:rFonts w:eastAsia="ヒラギノ角ゴ Pro W3"/>
          <w:snapToGrid/>
          <w:color w:val="000000"/>
        </w:rPr>
        <w:t xml:space="preserve"> is, quite frankly, bafflin</w:t>
      </w:r>
      <w:r w:rsidR="000D4F6F">
        <w:rPr>
          <w:rFonts w:eastAsia="ヒラギノ角ゴ Pro W3"/>
          <w:snapToGrid/>
          <w:color w:val="000000"/>
        </w:rPr>
        <w:t xml:space="preserve">g.  While the expert’s opinion </w:t>
      </w:r>
      <w:r>
        <w:rPr>
          <w:rFonts w:eastAsia="ヒラギノ角ゴ Pro W3"/>
          <w:snapToGrid/>
          <w:color w:val="000000"/>
        </w:rPr>
        <w:t>might have furt</w:t>
      </w:r>
      <w:r w:rsidR="001E0318">
        <w:rPr>
          <w:rFonts w:eastAsia="ヒラギノ角ゴ Pro W3"/>
          <w:snapToGrid/>
          <w:color w:val="000000"/>
        </w:rPr>
        <w:t>hered trial counsel’s strategy</w:t>
      </w:r>
      <w:r w:rsidR="000D4F6F">
        <w:rPr>
          <w:rFonts w:eastAsia="ヒラギノ角ゴ Pro W3"/>
          <w:snapToGrid/>
          <w:color w:val="000000"/>
        </w:rPr>
        <w:t xml:space="preserve">, that “might” strains credulity.  In fact, </w:t>
      </w:r>
      <w:r w:rsidR="001E0318">
        <w:rPr>
          <w:rFonts w:eastAsia="ヒラギノ角ゴ Pro W3"/>
          <w:snapToGrid/>
          <w:color w:val="000000"/>
        </w:rPr>
        <w:t>it was not consistent with</w:t>
      </w:r>
      <w:r>
        <w:rPr>
          <w:rFonts w:eastAsia="ヒラギノ角ゴ Pro W3"/>
          <w:snapToGrid/>
          <w:color w:val="000000"/>
        </w:rPr>
        <w:t xml:space="preserve"> trial counsel’s strategy</w:t>
      </w:r>
      <w:r w:rsidR="001E0318">
        <w:rPr>
          <w:rFonts w:eastAsia="ヒラギノ角ゴ Pro W3"/>
          <w:snapToGrid/>
          <w:color w:val="000000"/>
        </w:rPr>
        <w:t>.  Trial counsel never argued</w:t>
      </w:r>
      <w:r>
        <w:rPr>
          <w:rFonts w:eastAsia="ヒラギノ角ゴ Pro W3"/>
          <w:snapToGrid/>
          <w:color w:val="000000"/>
        </w:rPr>
        <w:t xml:space="preserve"> that the child was abused but mother didn’t do it</w:t>
      </w:r>
      <w:r w:rsidR="000D4F6F">
        <w:rPr>
          <w:rFonts w:eastAsia="ヒラギノ角ゴ Pro W3"/>
          <w:snapToGrid/>
          <w:color w:val="000000"/>
        </w:rPr>
        <w:t xml:space="preserve">; </w:t>
      </w:r>
      <w:r>
        <w:rPr>
          <w:rFonts w:eastAsia="ヒラギノ角ゴ Pro W3"/>
          <w:snapToGrid/>
          <w:color w:val="000000"/>
        </w:rPr>
        <w:t>trial counsel</w:t>
      </w:r>
      <w:r w:rsidR="001E0318">
        <w:rPr>
          <w:rFonts w:eastAsia="ヒラギノ角ゴ Pro W3"/>
          <w:snapToGrid/>
          <w:color w:val="000000"/>
        </w:rPr>
        <w:t xml:space="preserve"> argued </w:t>
      </w:r>
      <w:r>
        <w:rPr>
          <w:rFonts w:eastAsia="ヒラギノ角ゴ Pro W3"/>
          <w:snapToGrid/>
          <w:color w:val="000000"/>
        </w:rPr>
        <w:t xml:space="preserve">that the child’s injuries were accidental.  As such, proffering the expert’s opinion </w:t>
      </w:r>
      <w:r w:rsidR="001E0318">
        <w:rPr>
          <w:rFonts w:eastAsia="ヒラギノ角ゴ Pro W3"/>
          <w:snapToGrid/>
          <w:color w:val="000000"/>
        </w:rPr>
        <w:t xml:space="preserve">– that the child was abused but mother didn’t do it – was </w:t>
      </w:r>
      <w:r>
        <w:rPr>
          <w:rFonts w:eastAsia="ヒラギノ角ゴ Pro W3"/>
          <w:snapToGrid/>
          <w:color w:val="000000"/>
        </w:rPr>
        <w:t xml:space="preserve">not </w:t>
      </w:r>
      <w:r w:rsidR="000D4F6F">
        <w:rPr>
          <w:rFonts w:eastAsia="ヒラギノ角ゴ Pro W3"/>
          <w:snapToGrid/>
          <w:color w:val="000000"/>
        </w:rPr>
        <w:t xml:space="preserve">really </w:t>
      </w:r>
      <w:r>
        <w:rPr>
          <w:rFonts w:eastAsia="ヒラギノ角ゴ Pro W3"/>
          <w:snapToGrid/>
          <w:color w:val="000000"/>
        </w:rPr>
        <w:t>a strategic decision at all; it was a mistake</w:t>
      </w:r>
      <w:r w:rsidR="000D4F6F">
        <w:rPr>
          <w:rFonts w:eastAsia="ヒラギノ角ゴ Pro W3"/>
          <w:snapToGrid/>
          <w:color w:val="000000"/>
        </w:rPr>
        <w:t xml:space="preserve"> and</w:t>
      </w:r>
      <w:r>
        <w:rPr>
          <w:rFonts w:eastAsia="ヒラギノ角ゴ Pro W3"/>
          <w:snapToGrid/>
          <w:color w:val="000000"/>
        </w:rPr>
        <w:t xml:space="preserve"> manifestly unreasonable. </w:t>
      </w:r>
      <w:r w:rsidR="000D4F6F">
        <w:rPr>
          <w:rFonts w:eastAsia="ヒラギノ角ゴ Pro W3"/>
          <w:snapToGrid/>
          <w:color w:val="000000"/>
        </w:rPr>
        <w:t>The panel should have identified it as such.</w:t>
      </w:r>
      <w:r>
        <w:rPr>
          <w:rFonts w:eastAsia="ヒラギノ角ゴ Pro W3"/>
          <w:snapToGrid/>
          <w:color w:val="000000"/>
        </w:rPr>
        <w:t xml:space="preserve">  </w:t>
      </w:r>
    </w:p>
    <w:p w:rsidR="004A5A2C" w:rsidRPr="004A5A2C" w:rsidRDefault="004A5A2C" w:rsidP="004A5A2C">
      <w:pPr>
        <w:widowControl/>
        <w:rPr>
          <w:rFonts w:eastAsia="ヒラギノ角ゴ Pro W3"/>
          <w:snapToGrid/>
          <w:color w:val="000000"/>
        </w:rPr>
      </w:pPr>
    </w:p>
    <w:p w:rsidR="00D95614" w:rsidRDefault="004A5A2C" w:rsidP="004A5A2C">
      <w:pPr>
        <w:widowControl/>
        <w:numPr>
          <w:ilvl w:val="0"/>
          <w:numId w:val="39"/>
        </w:numPr>
        <w:ind w:hanging="240"/>
        <w:rPr>
          <w:rFonts w:eastAsia="ヒラギノ角ゴ Pro W3"/>
          <w:snapToGrid/>
          <w:color w:val="000000"/>
        </w:rPr>
      </w:pPr>
      <w:r w:rsidRPr="004A5A2C">
        <w:rPr>
          <w:rFonts w:eastAsia="ヒラギノ角ゴ Pro W3"/>
          <w:snapToGrid/>
          <w:color w:val="000000"/>
          <w:u w:val="single"/>
        </w:rPr>
        <w:t>Adoption of Mindy</w:t>
      </w:r>
      <w:r w:rsidRPr="004A5A2C">
        <w:rPr>
          <w:rFonts w:eastAsia="ヒラギノ角ゴ Pro W3"/>
          <w:snapToGrid/>
          <w:color w:val="000000"/>
        </w:rPr>
        <w:t xml:space="preserve">, 85 Mass. App. Ct. 1115, No. 13-P-722 (April 23, 2014).  </w:t>
      </w:r>
      <w:r w:rsidRPr="004A5A2C">
        <w:rPr>
          <w:rFonts w:eastAsia="ヒラギノ角ゴ Pro W3"/>
          <w:snapToGrid/>
          <w:color w:val="000000"/>
          <w:u w:val="single"/>
        </w:rPr>
        <w:t>Mindy</w:t>
      </w:r>
      <w:r w:rsidRPr="004A5A2C">
        <w:rPr>
          <w:rFonts w:eastAsia="ヒラギノ角ゴ Pro W3"/>
          <w:snapToGrid/>
          <w:color w:val="000000"/>
        </w:rPr>
        <w:t xml:space="preserve"> </w:t>
      </w:r>
      <w:r w:rsidR="00D95614">
        <w:rPr>
          <w:rFonts w:eastAsia="ヒラギノ角ゴ Pro W3"/>
          <w:snapToGrid/>
          <w:color w:val="000000"/>
        </w:rPr>
        <w:t>is an interesting case about pre-trial suspension/</w:t>
      </w:r>
      <w:r w:rsidRPr="004A5A2C">
        <w:rPr>
          <w:rFonts w:eastAsia="ヒラギノ角ゴ Pro W3"/>
          <w:snapToGrid/>
          <w:color w:val="000000"/>
        </w:rPr>
        <w:t xml:space="preserve">termination of visitation. </w:t>
      </w:r>
      <w:r w:rsidR="00D95614">
        <w:rPr>
          <w:rFonts w:eastAsia="ヒラギノ角ゴ Pro W3"/>
          <w:snapToGrid/>
          <w:color w:val="000000"/>
        </w:rPr>
        <w:t xml:space="preserve"> </w:t>
      </w:r>
      <w:r w:rsidRPr="004A5A2C">
        <w:rPr>
          <w:rFonts w:eastAsia="ヒラギノ角ゴ Pro W3"/>
          <w:snapToGrid/>
          <w:color w:val="000000"/>
        </w:rPr>
        <w:t>The child entered DCF custody in September 2010</w:t>
      </w:r>
      <w:r w:rsidR="00D95614">
        <w:rPr>
          <w:rFonts w:eastAsia="ヒラギノ角ゴ Pro W3"/>
          <w:snapToGrid/>
          <w:color w:val="000000"/>
        </w:rPr>
        <w:t>.  T</w:t>
      </w:r>
      <w:r w:rsidRPr="004A5A2C">
        <w:rPr>
          <w:rFonts w:eastAsia="ヒラギノ角ゴ Pro W3"/>
          <w:snapToGrid/>
          <w:color w:val="000000"/>
        </w:rPr>
        <w:t xml:space="preserve">he mother had supervised visits with the child until DCF suspended visitation in November 2011, </w:t>
      </w:r>
      <w:r w:rsidR="00D95614">
        <w:rPr>
          <w:rFonts w:eastAsia="ヒラギノ角ゴ Pro W3"/>
          <w:snapToGrid/>
          <w:color w:val="000000"/>
        </w:rPr>
        <w:t>citing the child’s</w:t>
      </w:r>
      <w:r w:rsidRPr="004A5A2C">
        <w:rPr>
          <w:rFonts w:eastAsia="ヒラギノ角ゴ Pro W3"/>
          <w:snapToGrid/>
          <w:color w:val="000000"/>
        </w:rPr>
        <w:t xml:space="preserve"> negative </w:t>
      </w:r>
      <w:r w:rsidR="00D95614">
        <w:rPr>
          <w:rFonts w:eastAsia="ヒラギノ角ゴ Pro W3"/>
          <w:snapToGrid/>
          <w:color w:val="000000"/>
        </w:rPr>
        <w:t>reaction</w:t>
      </w:r>
      <w:r w:rsidR="00327C4D">
        <w:rPr>
          <w:rFonts w:eastAsia="ヒラギノ角ゴ Pro W3"/>
          <w:snapToGrid/>
          <w:color w:val="000000"/>
        </w:rPr>
        <w:t>s</w:t>
      </w:r>
      <w:r w:rsidR="00D95614">
        <w:rPr>
          <w:rFonts w:eastAsia="ヒラギノ角ゴ Pro W3"/>
          <w:snapToGrid/>
          <w:color w:val="000000"/>
        </w:rPr>
        <w:t xml:space="preserve"> to </w:t>
      </w:r>
      <w:r w:rsidRPr="004A5A2C">
        <w:rPr>
          <w:rFonts w:eastAsia="ヒラギノ角ゴ Pro W3"/>
          <w:snapToGrid/>
          <w:color w:val="000000"/>
        </w:rPr>
        <w:t xml:space="preserve">visits. </w:t>
      </w:r>
      <w:r w:rsidR="00D95614">
        <w:rPr>
          <w:rFonts w:eastAsia="ヒラギノ角ゴ Pro W3"/>
          <w:snapToGrid/>
          <w:color w:val="000000"/>
        </w:rPr>
        <w:t xml:space="preserve"> DCF waited u</w:t>
      </w:r>
      <w:r w:rsidRPr="004A5A2C">
        <w:rPr>
          <w:rFonts w:eastAsia="ヒラギノ角ゴ Pro W3"/>
          <w:snapToGrid/>
          <w:color w:val="000000"/>
        </w:rPr>
        <w:t>ntil January 2012 to file a motion to terminate visitation</w:t>
      </w:r>
      <w:r w:rsidR="00D95614">
        <w:rPr>
          <w:rFonts w:eastAsia="ヒラギノ角ゴ Pro W3"/>
          <w:snapToGrid/>
          <w:color w:val="000000"/>
        </w:rPr>
        <w:t>, and t</w:t>
      </w:r>
      <w:r w:rsidRPr="004A5A2C">
        <w:rPr>
          <w:rFonts w:eastAsia="ヒラギノ角ゴ Pro W3"/>
          <w:snapToGrid/>
          <w:color w:val="000000"/>
        </w:rPr>
        <w:t xml:space="preserve">he judge did not hear the motion until trial in March 2012.  Following trial, the judge terminated mother’s parental rights and terminated visitation. </w:t>
      </w:r>
      <w:r w:rsidR="00D95614">
        <w:rPr>
          <w:rFonts w:eastAsia="ヒラギノ角ゴ Pro W3"/>
          <w:snapToGrid/>
          <w:color w:val="000000"/>
        </w:rPr>
        <w:t xml:space="preserve"> </w:t>
      </w:r>
      <w:r w:rsidRPr="004A5A2C">
        <w:rPr>
          <w:rFonts w:eastAsia="ヒラギノ角ゴ Pro W3"/>
          <w:snapToGrid/>
          <w:color w:val="000000"/>
        </w:rPr>
        <w:t>On appeal, the mother argued that DCF violated its own regulations by suspending visitation prior t</w:t>
      </w:r>
      <w:r w:rsidR="00D95614">
        <w:rPr>
          <w:rFonts w:eastAsia="ヒラギノ角ゴ Pro W3"/>
          <w:snapToGrid/>
          <w:color w:val="000000"/>
        </w:rPr>
        <w:t>o court approval, and that the five-</w:t>
      </w:r>
      <w:r w:rsidRPr="004A5A2C">
        <w:rPr>
          <w:rFonts w:eastAsia="ヒラギノ角ゴ Pro W3"/>
          <w:snapToGrid/>
          <w:color w:val="000000"/>
        </w:rPr>
        <w:t>month delay between suspension and trial was prejudicial</w:t>
      </w:r>
      <w:r w:rsidR="00D95614">
        <w:rPr>
          <w:rFonts w:eastAsia="ヒラギノ角ゴ Pro W3"/>
          <w:snapToGrid/>
          <w:color w:val="000000"/>
        </w:rPr>
        <w:t>.  The mother also argued</w:t>
      </w:r>
      <w:r w:rsidRPr="004A5A2C">
        <w:rPr>
          <w:rFonts w:eastAsia="ヒラギノ角ゴ Pro W3"/>
          <w:snapToGrid/>
          <w:color w:val="000000"/>
        </w:rPr>
        <w:t xml:space="preserve"> that the judge erroneously admitted evidence from witnesses about the child’s negative reactions to visits. </w:t>
      </w:r>
      <w:r w:rsidR="00D95614">
        <w:rPr>
          <w:rFonts w:eastAsia="ヒラギノ角ゴ Pro W3"/>
          <w:snapToGrid/>
          <w:color w:val="000000"/>
        </w:rPr>
        <w:t xml:space="preserve"> </w:t>
      </w:r>
    </w:p>
    <w:p w:rsidR="00D95614" w:rsidRDefault="00D95614" w:rsidP="00D95614">
      <w:pPr>
        <w:widowControl/>
        <w:ind w:left="240"/>
        <w:rPr>
          <w:rFonts w:eastAsia="ヒラギノ角ゴ Pro W3"/>
          <w:snapToGrid/>
          <w:color w:val="000000"/>
          <w:u w:val="single"/>
        </w:rPr>
      </w:pPr>
    </w:p>
    <w:p w:rsidR="004A5A2C" w:rsidRDefault="004A5A2C" w:rsidP="00D95614">
      <w:pPr>
        <w:widowControl/>
        <w:ind w:left="240"/>
        <w:rPr>
          <w:rFonts w:eastAsia="ヒラギノ角ゴ Pro W3"/>
          <w:snapToGrid/>
          <w:color w:val="000000"/>
        </w:rPr>
      </w:pPr>
      <w:r w:rsidRPr="004A5A2C">
        <w:rPr>
          <w:rFonts w:eastAsia="ヒラギノ角ゴ Pro W3"/>
          <w:snapToGrid/>
          <w:color w:val="000000"/>
        </w:rPr>
        <w:t xml:space="preserve">The Appeals Court affirmed. </w:t>
      </w:r>
      <w:r w:rsidR="00D95614">
        <w:rPr>
          <w:rFonts w:eastAsia="ヒラギノ角ゴ Pro W3"/>
          <w:snapToGrid/>
          <w:color w:val="000000"/>
        </w:rPr>
        <w:t xml:space="preserve"> </w:t>
      </w:r>
      <w:r w:rsidRPr="004A5A2C">
        <w:rPr>
          <w:rFonts w:eastAsia="ヒラギノ角ゴ Pro W3"/>
          <w:snapToGrid/>
          <w:color w:val="000000"/>
        </w:rPr>
        <w:t xml:space="preserve">The panel </w:t>
      </w:r>
      <w:r w:rsidR="00D95614">
        <w:rPr>
          <w:rFonts w:eastAsia="ヒラギノ角ゴ Pro W3"/>
          <w:snapToGrid/>
          <w:color w:val="000000"/>
        </w:rPr>
        <w:t>held</w:t>
      </w:r>
      <w:r w:rsidRPr="004A5A2C">
        <w:rPr>
          <w:rFonts w:eastAsia="ヒラギノ角ゴ Pro W3"/>
          <w:snapToGrid/>
          <w:color w:val="000000"/>
        </w:rPr>
        <w:t xml:space="preserve"> that, while DCF may have violated its own regulations concerning the suspension of visitation, this violation was insufficient to </w:t>
      </w:r>
      <w:r w:rsidR="00D95614">
        <w:rPr>
          <w:rFonts w:eastAsia="ヒラギノ角ゴ Pro W3"/>
          <w:snapToGrid/>
          <w:color w:val="000000"/>
        </w:rPr>
        <w:t xml:space="preserve">merit vacating the termination decree </w:t>
      </w:r>
      <w:r w:rsidRPr="004A5A2C">
        <w:rPr>
          <w:rFonts w:eastAsia="ヒラギノ角ゴ Pro W3"/>
          <w:snapToGrid/>
          <w:color w:val="000000"/>
        </w:rPr>
        <w:t>absent a showing of prejudice</w:t>
      </w:r>
      <w:r w:rsidR="00D95614">
        <w:rPr>
          <w:rFonts w:eastAsia="ヒラギノ角ゴ Pro W3"/>
          <w:snapToGrid/>
          <w:color w:val="000000"/>
        </w:rPr>
        <w:t xml:space="preserve"> (which mother could not show in this case)</w:t>
      </w:r>
      <w:r w:rsidRPr="004A5A2C">
        <w:rPr>
          <w:rFonts w:eastAsia="ヒラギノ角ゴ Pro W3"/>
          <w:snapToGrid/>
          <w:color w:val="000000"/>
        </w:rPr>
        <w:t xml:space="preserve">. </w:t>
      </w:r>
      <w:r w:rsidR="00D95614">
        <w:rPr>
          <w:rFonts w:eastAsia="ヒラギノ角ゴ Pro W3"/>
          <w:snapToGrid/>
          <w:color w:val="000000"/>
        </w:rPr>
        <w:t xml:space="preserve"> </w:t>
      </w:r>
      <w:r w:rsidRPr="004A5A2C">
        <w:rPr>
          <w:rFonts w:eastAsia="ヒラギノ角ゴ Pro W3"/>
          <w:snapToGrid/>
          <w:color w:val="000000"/>
        </w:rPr>
        <w:t xml:space="preserve">On the issue of </w:t>
      </w:r>
      <w:r w:rsidR="00D95614">
        <w:rPr>
          <w:rFonts w:eastAsia="ヒラギノ角ゴ Pro W3"/>
          <w:snapToGrid/>
          <w:color w:val="000000"/>
        </w:rPr>
        <w:t xml:space="preserve">“improper” </w:t>
      </w:r>
      <w:r w:rsidRPr="004A5A2C">
        <w:rPr>
          <w:rFonts w:eastAsia="ヒラギノ角ゴ Pro W3"/>
          <w:snapToGrid/>
          <w:color w:val="000000"/>
        </w:rPr>
        <w:t xml:space="preserve">witness testimony, the court held that the testimony </w:t>
      </w:r>
      <w:r w:rsidRPr="004A5A2C">
        <w:rPr>
          <w:rFonts w:eastAsia="ヒラギノ角ゴ Pro W3"/>
          <w:snapToGrid/>
          <w:color w:val="000000"/>
        </w:rPr>
        <w:lastRenderedPageBreak/>
        <w:t xml:space="preserve">was </w:t>
      </w:r>
      <w:r w:rsidR="00D95614">
        <w:rPr>
          <w:rFonts w:eastAsia="ヒラギノ角ゴ Pro W3"/>
          <w:snapToGrid/>
          <w:color w:val="000000"/>
        </w:rPr>
        <w:t>properly</w:t>
      </w:r>
      <w:r w:rsidRPr="004A5A2C">
        <w:rPr>
          <w:rFonts w:eastAsia="ヒラギノ角ゴ Pro W3"/>
          <w:snapToGrid/>
          <w:color w:val="000000"/>
        </w:rPr>
        <w:t xml:space="preserve"> admitted because it involved </w:t>
      </w:r>
      <w:r w:rsidR="00D95614">
        <w:rPr>
          <w:rFonts w:eastAsia="ヒラギノ角ゴ Pro W3"/>
          <w:snapToGrid/>
          <w:color w:val="000000"/>
        </w:rPr>
        <w:t>“</w:t>
      </w:r>
      <w:r w:rsidRPr="004A5A2C">
        <w:rPr>
          <w:rFonts w:eastAsia="ヒラギノ角ゴ Pro W3"/>
          <w:snapToGrid/>
          <w:color w:val="000000"/>
        </w:rPr>
        <w:t xml:space="preserve">firsthand observations and </w:t>
      </w:r>
      <w:r w:rsidR="00D95614">
        <w:rPr>
          <w:rFonts w:eastAsia="ヒラギノ角ゴ Pro W3"/>
          <w:snapToGrid/>
          <w:color w:val="000000"/>
        </w:rPr>
        <w:t xml:space="preserve">discussions with the </w:t>
      </w:r>
      <w:proofErr w:type="gramStart"/>
      <w:r w:rsidR="00D95614">
        <w:rPr>
          <w:rFonts w:eastAsia="ヒラギノ角ゴ Pro W3"/>
          <w:snapToGrid/>
          <w:color w:val="000000"/>
        </w:rPr>
        <w:t>child[</w:t>
      </w:r>
      <w:proofErr w:type="gramEnd"/>
      <w:r w:rsidR="00D95614">
        <w:rPr>
          <w:rFonts w:eastAsia="ヒラギノ角ゴ Pro W3"/>
          <w:snapToGrid/>
          <w:color w:val="000000"/>
        </w:rPr>
        <w:t>.]”  The latter were properly admitted only to show</w:t>
      </w:r>
      <w:r w:rsidRPr="004A5A2C">
        <w:rPr>
          <w:rFonts w:eastAsia="ヒラギノ角ゴ Pro W3"/>
          <w:snapToGrid/>
          <w:color w:val="000000"/>
        </w:rPr>
        <w:t xml:space="preserve"> the child’s state of mind.</w:t>
      </w:r>
    </w:p>
    <w:p w:rsidR="00D95614" w:rsidRDefault="00D95614" w:rsidP="00D95614">
      <w:pPr>
        <w:widowControl/>
        <w:ind w:left="240"/>
        <w:rPr>
          <w:rFonts w:eastAsia="ヒラギノ角ゴ Pro W3"/>
          <w:snapToGrid/>
          <w:color w:val="000000"/>
        </w:rPr>
      </w:pPr>
    </w:p>
    <w:p w:rsidR="00D95614" w:rsidRPr="004A5A2C" w:rsidRDefault="00D95614" w:rsidP="006D7420">
      <w:pPr>
        <w:widowControl/>
        <w:ind w:left="240" w:right="-180"/>
        <w:rPr>
          <w:rFonts w:eastAsia="ヒラギノ角ゴ Pro W3"/>
          <w:snapToGrid/>
          <w:color w:val="000000"/>
        </w:rPr>
      </w:pPr>
      <w:r w:rsidRPr="00D95614">
        <w:rPr>
          <w:rFonts w:eastAsia="ヒラギノ角ゴ Pro W3"/>
          <w:snapToGrid/>
          <w:color w:val="000000"/>
          <w:u w:val="single"/>
        </w:rPr>
        <w:t>Mindy</w:t>
      </w:r>
      <w:r>
        <w:rPr>
          <w:rFonts w:eastAsia="ヒラギノ角ゴ Pro W3"/>
          <w:snapToGrid/>
          <w:color w:val="000000"/>
        </w:rPr>
        <w:t xml:space="preserve"> teaches us two things.  First, for trial counsel, </w:t>
      </w:r>
      <w:r w:rsidRPr="00327C4D">
        <w:rPr>
          <w:rFonts w:eastAsia="ヒラギノ角ゴ Pro W3"/>
          <w:i/>
          <w:snapToGrid/>
          <w:color w:val="000000"/>
        </w:rPr>
        <w:t>never</w:t>
      </w:r>
      <w:r>
        <w:rPr>
          <w:rFonts w:eastAsia="ヒラギノ角ゴ Pro W3"/>
          <w:snapToGrid/>
          <w:color w:val="000000"/>
        </w:rPr>
        <w:t xml:space="preserve"> wait several months before bringing DCF’s suspension of visitation to the trial court’s attention; and if the trial court refuses to rule on your motion to resume visits – or delays ruling</w:t>
      </w:r>
      <w:r w:rsidR="006D7420">
        <w:rPr>
          <w:rFonts w:eastAsia="ヒラギノ角ゴ Pro W3"/>
          <w:snapToGrid/>
          <w:color w:val="000000"/>
        </w:rPr>
        <w:t xml:space="preserve"> </w:t>
      </w:r>
      <w:r>
        <w:rPr>
          <w:rFonts w:eastAsia="ヒラギノ角ゴ Pro W3"/>
          <w:snapToGrid/>
          <w:color w:val="000000"/>
        </w:rPr>
        <w:t xml:space="preserve">– file a single justice petition under G.L. c. 231, § 118.  Second, for appellate counsel, if you are arguing that DCF’s suspension/termination of visitation harmed your client’s chances at the termination trial, you must show actual harm.  </w:t>
      </w:r>
      <w:r w:rsidR="006D7420">
        <w:rPr>
          <w:rFonts w:eastAsia="ヒラギノ角ゴ Pro W3"/>
          <w:snapToGrid/>
          <w:color w:val="000000"/>
        </w:rPr>
        <w:t>This is not easy to do</w:t>
      </w:r>
      <w:r w:rsidR="0083691D">
        <w:rPr>
          <w:rFonts w:eastAsia="ヒラギノ角ゴ Pro W3"/>
          <w:snapToGrid/>
          <w:color w:val="000000"/>
        </w:rPr>
        <w:t xml:space="preserve">.  Contact CAFL </w:t>
      </w:r>
      <w:proofErr w:type="gramStart"/>
      <w:r w:rsidR="006D7420">
        <w:rPr>
          <w:rFonts w:eastAsia="ヒラギノ角ゴ Pro W3"/>
          <w:snapToGrid/>
          <w:color w:val="000000"/>
        </w:rPr>
        <w:t>administration,</w:t>
      </w:r>
      <w:proofErr w:type="gramEnd"/>
      <w:r w:rsidR="0083691D">
        <w:rPr>
          <w:rFonts w:eastAsia="ヒラギノ角ゴ Pro W3"/>
          <w:snapToGrid/>
          <w:color w:val="000000"/>
        </w:rPr>
        <w:t xml:space="preserve"> and we can brainstorm.</w:t>
      </w:r>
    </w:p>
    <w:p w:rsidR="004A5A2C" w:rsidRPr="004A5A2C" w:rsidRDefault="004A5A2C" w:rsidP="004A5A2C">
      <w:pPr>
        <w:widowControl/>
        <w:ind w:left="720"/>
        <w:rPr>
          <w:snapToGrid/>
          <w:szCs w:val="24"/>
        </w:rPr>
      </w:pPr>
    </w:p>
    <w:p w:rsidR="004A5A2C" w:rsidRPr="004A5A2C" w:rsidRDefault="004A5A2C" w:rsidP="004A5A2C">
      <w:pPr>
        <w:widowControl/>
        <w:numPr>
          <w:ilvl w:val="0"/>
          <w:numId w:val="39"/>
        </w:numPr>
        <w:ind w:hanging="240"/>
        <w:rPr>
          <w:rFonts w:eastAsia="ヒラギノ角ゴ Pro W3"/>
          <w:snapToGrid/>
          <w:color w:val="000000"/>
        </w:rPr>
      </w:pPr>
      <w:r w:rsidRPr="004A5A2C">
        <w:rPr>
          <w:rFonts w:eastAsia="ヒラギノ角ゴ Pro W3"/>
          <w:snapToGrid/>
          <w:color w:val="000000"/>
        </w:rPr>
        <w:t xml:space="preserve"> </w:t>
      </w:r>
      <w:r w:rsidRPr="004A5A2C">
        <w:rPr>
          <w:rFonts w:eastAsia="ヒラギノ角ゴ Pro W3"/>
          <w:snapToGrid/>
          <w:color w:val="000000"/>
          <w:u w:val="single"/>
        </w:rPr>
        <w:t>Adoption of Lucia</w:t>
      </w:r>
      <w:r w:rsidRPr="004A5A2C">
        <w:rPr>
          <w:rFonts w:eastAsia="ヒラギノ角ゴ Pro W3"/>
          <w:snapToGrid/>
          <w:color w:val="000000"/>
        </w:rPr>
        <w:t xml:space="preserve">, 85 Mass. App. Ct. 1127, No. 13-P-1849 (June 25, 2014).  </w:t>
      </w:r>
      <w:r w:rsidR="00F56507">
        <w:rPr>
          <w:rFonts w:eastAsia="ヒラギノ角ゴ Pro W3"/>
          <w:snapToGrid/>
          <w:color w:val="000000"/>
        </w:rPr>
        <w:t xml:space="preserve">In </w:t>
      </w:r>
      <w:r w:rsidR="00F56507" w:rsidRPr="00327C4D">
        <w:rPr>
          <w:rFonts w:eastAsia="ヒラギノ角ゴ Pro W3"/>
          <w:snapToGrid/>
          <w:color w:val="000000"/>
          <w:u w:val="single"/>
        </w:rPr>
        <w:t>Lucia</w:t>
      </w:r>
      <w:r w:rsidR="00F56507">
        <w:rPr>
          <w:rFonts w:eastAsia="ヒラギノ角ゴ Pro W3"/>
          <w:snapToGrid/>
          <w:color w:val="000000"/>
        </w:rPr>
        <w:t>, t</w:t>
      </w:r>
      <w:r w:rsidRPr="004A5A2C">
        <w:rPr>
          <w:rFonts w:eastAsia="ヒラギノ角ゴ Pro W3"/>
          <w:snapToGrid/>
          <w:color w:val="000000"/>
        </w:rPr>
        <w:t>here was no question of parental unfitness</w:t>
      </w:r>
      <w:r w:rsidR="00F56507">
        <w:rPr>
          <w:rFonts w:eastAsia="ヒラギノ角ゴ Pro W3"/>
          <w:snapToGrid/>
          <w:color w:val="000000"/>
        </w:rPr>
        <w:t xml:space="preserve">; </w:t>
      </w:r>
      <w:r w:rsidRPr="004A5A2C">
        <w:rPr>
          <w:rFonts w:eastAsia="ヒラギノ角ゴ Pro W3"/>
          <w:snapToGrid/>
          <w:color w:val="000000"/>
        </w:rPr>
        <w:t xml:space="preserve">rights were terminated soon after the child’s birth in March 2011. The </w:t>
      </w:r>
      <w:r w:rsidR="00F56507">
        <w:rPr>
          <w:rFonts w:eastAsia="ヒラギノ角ゴ Pro W3"/>
          <w:snapToGrid/>
          <w:color w:val="000000"/>
        </w:rPr>
        <w:t xml:space="preserve">only issue on appeal </w:t>
      </w:r>
      <w:r w:rsidRPr="004A5A2C">
        <w:rPr>
          <w:rFonts w:eastAsia="ヒラギノ角ゴ Pro W3"/>
          <w:snapToGrid/>
          <w:color w:val="000000"/>
        </w:rPr>
        <w:t xml:space="preserve">was whether the Juvenile Court properly </w:t>
      </w:r>
      <w:r w:rsidR="00F56507">
        <w:rPr>
          <w:rFonts w:eastAsia="ヒラギノ角ゴ Pro W3"/>
          <w:snapToGrid/>
          <w:color w:val="000000"/>
        </w:rPr>
        <w:t xml:space="preserve">selected DCF’s adoption plan (adoption by </w:t>
      </w:r>
      <w:r w:rsidRPr="004A5A2C">
        <w:rPr>
          <w:rFonts w:eastAsia="ヒラギノ角ゴ Pro W3"/>
          <w:snapToGrid/>
          <w:color w:val="000000"/>
        </w:rPr>
        <w:t>foster parents</w:t>
      </w:r>
      <w:r w:rsidR="00F56507">
        <w:rPr>
          <w:rFonts w:eastAsia="ヒラギノ角ゴ Pro W3"/>
          <w:snapToGrid/>
          <w:color w:val="000000"/>
        </w:rPr>
        <w:t xml:space="preserve">) over the parents’ and child’s plan (adoption by </w:t>
      </w:r>
      <w:r w:rsidRPr="004A5A2C">
        <w:rPr>
          <w:rFonts w:eastAsia="ヒラギノ角ゴ Pro W3"/>
          <w:snapToGrid/>
          <w:color w:val="000000"/>
        </w:rPr>
        <w:t>paternal grandfather and his wife</w:t>
      </w:r>
      <w:r w:rsidR="00F56507">
        <w:rPr>
          <w:rFonts w:eastAsia="ヒラギノ角ゴ Pro W3"/>
          <w:snapToGrid/>
          <w:color w:val="000000"/>
        </w:rPr>
        <w:t>)</w:t>
      </w:r>
      <w:r w:rsidRPr="004A5A2C">
        <w:rPr>
          <w:rFonts w:eastAsia="ヒラギノ角ゴ Pro W3"/>
          <w:snapToGrid/>
          <w:color w:val="000000"/>
        </w:rPr>
        <w:t xml:space="preserve">. </w:t>
      </w:r>
      <w:r w:rsidR="00F56507">
        <w:rPr>
          <w:rFonts w:eastAsia="ヒラギノ角ゴ Pro W3"/>
          <w:snapToGrid/>
          <w:color w:val="000000"/>
        </w:rPr>
        <w:t xml:space="preserve"> </w:t>
      </w:r>
      <w:r w:rsidRPr="004A5A2C">
        <w:rPr>
          <w:rFonts w:eastAsia="ヒラギノ角ゴ Pro W3"/>
          <w:snapToGrid/>
          <w:color w:val="000000"/>
        </w:rPr>
        <w:t xml:space="preserve">The Appeals Court </w:t>
      </w:r>
      <w:r w:rsidR="00F56507">
        <w:rPr>
          <w:rFonts w:eastAsia="ヒラギノ角ゴ Pro W3"/>
          <w:snapToGrid/>
          <w:color w:val="000000"/>
        </w:rPr>
        <w:t xml:space="preserve">held that the Juvenile Court abused its discretion in choosing the DCF plan </w:t>
      </w:r>
      <w:r w:rsidRPr="004A5A2C">
        <w:rPr>
          <w:rFonts w:eastAsia="ヒラギノ角ゴ Pro W3"/>
          <w:snapToGrid/>
          <w:color w:val="000000"/>
        </w:rPr>
        <w:t xml:space="preserve">because the trial judge made </w:t>
      </w:r>
      <w:r w:rsidR="00F56507">
        <w:rPr>
          <w:rFonts w:eastAsia="ヒラギノ角ゴ Pro W3"/>
          <w:snapToGrid/>
          <w:color w:val="000000"/>
        </w:rPr>
        <w:t>several</w:t>
      </w:r>
      <w:r w:rsidRPr="004A5A2C">
        <w:rPr>
          <w:rFonts w:eastAsia="ヒラギノ角ゴ Pro W3"/>
          <w:snapToGrid/>
          <w:color w:val="000000"/>
        </w:rPr>
        <w:t xml:space="preserve"> clearly erroneous findings</w:t>
      </w:r>
      <w:r w:rsidR="000228B3">
        <w:rPr>
          <w:rFonts w:eastAsia="ヒラギノ角ゴ Pro W3"/>
          <w:snapToGrid/>
          <w:color w:val="000000"/>
        </w:rPr>
        <w:t xml:space="preserve"> and failed to make other important findings.  Specifically, the trial court failed to make findings about </w:t>
      </w:r>
      <w:r w:rsidRPr="004A5A2C">
        <w:rPr>
          <w:rFonts w:eastAsia="ヒラギノ角ゴ Pro W3"/>
          <w:snapToGrid/>
          <w:color w:val="000000"/>
        </w:rPr>
        <w:t>the foster parents’ abi</w:t>
      </w:r>
      <w:r w:rsidR="00F56507">
        <w:rPr>
          <w:rFonts w:eastAsia="ヒラギノ角ゴ Pro W3"/>
          <w:snapToGrid/>
          <w:color w:val="000000"/>
        </w:rPr>
        <w:t>lity to care for the child long-</w:t>
      </w:r>
      <w:r w:rsidRPr="004A5A2C">
        <w:rPr>
          <w:rFonts w:eastAsia="ヒラギノ角ゴ Pro W3"/>
          <w:snapToGrid/>
          <w:color w:val="000000"/>
        </w:rPr>
        <w:t>term</w:t>
      </w:r>
      <w:r w:rsidR="000228B3">
        <w:rPr>
          <w:rFonts w:eastAsia="ヒラギノ角ゴ Pro W3"/>
          <w:snapToGrid/>
          <w:color w:val="000000"/>
        </w:rPr>
        <w:t xml:space="preserve">, the viability of the foster parents’ “succession plan” should they be unable to do so, and whether the number of biological and foster children in the foster parents’ home impacted their ability to care for the subject child.  The panel </w:t>
      </w:r>
      <w:r w:rsidR="00F56507">
        <w:rPr>
          <w:rFonts w:eastAsia="ヒラギノ角ゴ Pro W3"/>
          <w:snapToGrid/>
          <w:color w:val="000000"/>
        </w:rPr>
        <w:t>remanded for further findings</w:t>
      </w:r>
      <w:r w:rsidR="000228B3">
        <w:rPr>
          <w:rFonts w:eastAsia="ヒラギノ角ゴ Pro W3"/>
          <w:snapToGrid/>
          <w:color w:val="000000"/>
        </w:rPr>
        <w:t xml:space="preserve"> on those issues</w:t>
      </w:r>
      <w:r w:rsidRPr="004A5A2C">
        <w:rPr>
          <w:rFonts w:eastAsia="ヒラギノ角ゴ Pro W3"/>
          <w:snapToGrid/>
          <w:color w:val="000000"/>
        </w:rPr>
        <w:t>.</w:t>
      </w:r>
      <w:r w:rsidR="00F56507">
        <w:rPr>
          <w:rFonts w:eastAsia="ヒラギノ角ゴ Pro W3"/>
          <w:snapToGrid/>
          <w:color w:val="000000"/>
        </w:rPr>
        <w:t xml:space="preserve"> </w:t>
      </w:r>
      <w:r w:rsidRPr="004A5A2C">
        <w:rPr>
          <w:rFonts w:eastAsia="ヒラギノ角ゴ Pro W3"/>
          <w:snapToGrid/>
          <w:color w:val="000000"/>
        </w:rPr>
        <w:t xml:space="preserve"> The panel rejected the father’s argument that there should be a presumption that kinship adoption serve</w:t>
      </w:r>
      <w:r w:rsidR="00F56507">
        <w:rPr>
          <w:rFonts w:eastAsia="ヒラギノ角ゴ Pro W3"/>
          <w:snapToGrid/>
          <w:color w:val="000000"/>
        </w:rPr>
        <w:t>s</w:t>
      </w:r>
      <w:r w:rsidRPr="004A5A2C">
        <w:rPr>
          <w:rFonts w:eastAsia="ヒラギノ角ゴ Pro W3"/>
          <w:snapToGrid/>
          <w:color w:val="000000"/>
        </w:rPr>
        <w:t xml:space="preserve"> a child’s best interests.  The panel also </w:t>
      </w:r>
      <w:r w:rsidR="00F56507">
        <w:rPr>
          <w:rFonts w:eastAsia="ヒラギノ角ゴ Pro W3"/>
          <w:snapToGrid/>
          <w:color w:val="000000"/>
        </w:rPr>
        <w:t xml:space="preserve">declined to </w:t>
      </w:r>
      <w:r w:rsidRPr="004A5A2C">
        <w:rPr>
          <w:rFonts w:eastAsia="ヒラギノ角ゴ Pro W3"/>
          <w:snapToGrid/>
          <w:color w:val="000000"/>
        </w:rPr>
        <w:t xml:space="preserve">express any opinion about </w:t>
      </w:r>
      <w:r w:rsidR="000228B3">
        <w:rPr>
          <w:rFonts w:eastAsia="ヒラギノ角ゴ Pro W3"/>
          <w:snapToGrid/>
          <w:color w:val="000000"/>
        </w:rPr>
        <w:t>which plan actually served the child’s best interests.</w:t>
      </w:r>
    </w:p>
    <w:p w:rsidR="003A441B" w:rsidRPr="004A5A2C" w:rsidRDefault="003A441B" w:rsidP="004A5A2C">
      <w:pPr>
        <w:tabs>
          <w:tab w:val="left" w:pos="720"/>
        </w:tabs>
        <w:rPr>
          <w:bCs/>
          <w:color w:val="000000"/>
        </w:rPr>
      </w:pPr>
    </w:p>
    <w:p w:rsidR="00893D55" w:rsidRDefault="00893D55" w:rsidP="00A71F73">
      <w:pPr>
        <w:pStyle w:val="ListParagraph"/>
        <w:tabs>
          <w:tab w:val="left" w:pos="720"/>
        </w:tabs>
        <w:ind w:left="0"/>
        <w:rPr>
          <w:b/>
          <w:bCs/>
          <w:color w:val="000000"/>
          <w:u w:val="single"/>
        </w:rPr>
      </w:pPr>
      <w:r>
        <w:rPr>
          <w:b/>
          <w:bCs/>
          <w:color w:val="000000"/>
          <w:u w:val="single"/>
        </w:rPr>
        <w:t>Writing Tips</w:t>
      </w:r>
    </w:p>
    <w:p w:rsidR="00913C68" w:rsidRDefault="00913C68" w:rsidP="00DD6943">
      <w:pPr>
        <w:shd w:val="clear" w:color="auto" w:fill="FFFFFF"/>
        <w:textAlignment w:val="top"/>
        <w:outlineLvl w:val="2"/>
        <w:rPr>
          <w:b/>
          <w:bCs/>
          <w:color w:val="000000"/>
          <w:u w:val="single"/>
        </w:rPr>
      </w:pPr>
    </w:p>
    <w:p w:rsidR="00052E51" w:rsidRPr="0080783E" w:rsidRDefault="00052E51" w:rsidP="0080783E">
      <w:pPr>
        <w:tabs>
          <w:tab w:val="left" w:pos="-1440"/>
        </w:tabs>
        <w:rPr>
          <w:b/>
        </w:rPr>
      </w:pPr>
      <w:r w:rsidRPr="0080783E">
        <w:rPr>
          <w:b/>
        </w:rPr>
        <w:t>Making a Better “Summary of the Argument”</w:t>
      </w:r>
    </w:p>
    <w:p w:rsidR="00052E51" w:rsidRPr="00226E32" w:rsidRDefault="00052E51" w:rsidP="00052E51">
      <w:pPr>
        <w:tabs>
          <w:tab w:val="left" w:pos="-1440"/>
        </w:tabs>
        <w:ind w:left="720"/>
        <w:rPr>
          <w:b/>
          <w:i/>
        </w:rPr>
      </w:pPr>
      <w:r w:rsidRPr="00226E32">
        <w:rPr>
          <w:b/>
          <w:i/>
        </w:rPr>
        <w:t xml:space="preserve"> </w:t>
      </w:r>
    </w:p>
    <w:p w:rsidR="00052E51" w:rsidRDefault="0080783E" w:rsidP="000228B3">
      <w:pPr>
        <w:ind w:firstLine="720"/>
      </w:pPr>
      <w:r>
        <w:t>M</w:t>
      </w:r>
      <w:r w:rsidR="00052E51">
        <w:t>any of the Summaries we see in CAFL briefs don’t conform to the Rules.</w:t>
      </w:r>
      <w:r>
        <w:t xml:space="preserve">  </w:t>
      </w:r>
      <w:r w:rsidR="00052E51">
        <w:t xml:space="preserve">You must include a Summary of the Argument if your Argument is more than 24 pages.  </w:t>
      </w:r>
      <w:r w:rsidR="00052E51" w:rsidRPr="00052E51">
        <w:rPr>
          <w:u w:val="single"/>
        </w:rPr>
        <w:t>See</w:t>
      </w:r>
      <w:r w:rsidR="00052E51">
        <w:t xml:space="preserve"> Mass. R. App. P. 16(a)(4).  </w:t>
      </w:r>
      <w:r>
        <w:t>Rule 16(a</w:t>
      </w:r>
      <w:proofErr w:type="gramStart"/>
      <w:r>
        <w:t>)(</w:t>
      </w:r>
      <w:proofErr w:type="gramEnd"/>
      <w:r>
        <w:t>4) provides that t</w:t>
      </w:r>
      <w:r w:rsidR="00052E51">
        <w:t xml:space="preserve">he Summary must (a) include references to the corresponding pages in the Argument, (b) be in paragraph form, and (c) not merely repeat the Argument headers.  </w:t>
      </w:r>
    </w:p>
    <w:p w:rsidR="000228B3" w:rsidRDefault="000228B3" w:rsidP="000228B3">
      <w:pPr>
        <w:ind w:firstLine="720"/>
      </w:pPr>
    </w:p>
    <w:p w:rsidR="00052E51" w:rsidRDefault="00052E51" w:rsidP="000228B3">
      <w:pPr>
        <w:ind w:firstLine="720"/>
      </w:pPr>
      <w:r>
        <w:t>How is a Summary of the Argument different from your Argument headers?  An A</w:t>
      </w:r>
      <w:r w:rsidR="0080783E">
        <w:t xml:space="preserve">rgument header tells the panel – in one sentence – what </w:t>
      </w:r>
      <w:r>
        <w:t xml:space="preserve">you </w:t>
      </w:r>
      <w:r w:rsidRPr="00052E51">
        <w:rPr>
          <w:i/>
        </w:rPr>
        <w:t>will</w:t>
      </w:r>
      <w:r>
        <w:t xml:space="preserve"> prove.  A Summary of the Argument paragraph actually proves it, </w:t>
      </w:r>
      <w:r w:rsidR="0080783E">
        <w:t>usually in several sentences (but in less detail than in the Argument)</w:t>
      </w:r>
      <w:r>
        <w:t>.  Here is an example of a good Argument header, followed by a good paragraph from a Summary of the Argument:</w:t>
      </w:r>
    </w:p>
    <w:p w:rsidR="000228B3" w:rsidRDefault="000228B3" w:rsidP="000228B3">
      <w:pPr>
        <w:ind w:firstLine="720"/>
      </w:pPr>
    </w:p>
    <w:p w:rsidR="00052E51" w:rsidRDefault="00052E51" w:rsidP="00052E51">
      <w:pPr>
        <w:ind w:firstLine="720"/>
      </w:pPr>
      <w:r w:rsidRPr="00301AB9">
        <w:rPr>
          <w:u w:val="single"/>
        </w:rPr>
        <w:t>Argument header</w:t>
      </w:r>
      <w:r>
        <w:t>:</w:t>
      </w:r>
    </w:p>
    <w:p w:rsidR="00052E51" w:rsidRDefault="00052E51" w:rsidP="00052E51">
      <w:pPr>
        <w:ind w:firstLine="720"/>
      </w:pPr>
    </w:p>
    <w:p w:rsidR="00052E51" w:rsidRPr="005E3315" w:rsidRDefault="00052E51" w:rsidP="00052E51">
      <w:pPr>
        <w:pStyle w:val="ListParagraph"/>
        <w:numPr>
          <w:ilvl w:val="0"/>
          <w:numId w:val="41"/>
        </w:numPr>
        <w:autoSpaceDE w:val="0"/>
        <w:autoSpaceDN w:val="0"/>
        <w:adjustRightInd w:val="0"/>
        <w:ind w:left="720" w:right="720" w:firstLine="0"/>
        <w:contextualSpacing w:val="0"/>
      </w:pPr>
      <w:r w:rsidRPr="005E3315">
        <w:t xml:space="preserve">The trial court erred in allowing </w:t>
      </w:r>
      <w:r>
        <w:t xml:space="preserve">DCF’s </w:t>
      </w:r>
      <w:r w:rsidRPr="005E3315">
        <w:t>experts and the Child’s treating professionals to vouch for the Child’s credibility, compare her to sexually abused children</w:t>
      </w:r>
      <w:r>
        <w:t>,</w:t>
      </w:r>
      <w:r w:rsidRPr="005E3315">
        <w:t xml:space="preserve"> and testify that the Child was, in fact, sexually abused.</w:t>
      </w:r>
    </w:p>
    <w:p w:rsidR="00052E51" w:rsidRDefault="00052E51" w:rsidP="00052E51">
      <w:pPr>
        <w:ind w:firstLine="720"/>
        <w:rPr>
          <w:u w:val="single"/>
        </w:rPr>
      </w:pPr>
    </w:p>
    <w:p w:rsidR="00052E51" w:rsidRDefault="00052E51" w:rsidP="00052E51">
      <w:pPr>
        <w:ind w:firstLine="720"/>
      </w:pPr>
      <w:r w:rsidRPr="00D501C1">
        <w:rPr>
          <w:u w:val="single"/>
        </w:rPr>
        <w:t xml:space="preserve">Corresponding paragraph in </w:t>
      </w:r>
      <w:r>
        <w:rPr>
          <w:u w:val="single"/>
        </w:rPr>
        <w:t xml:space="preserve">the </w:t>
      </w:r>
      <w:r w:rsidRPr="00D501C1">
        <w:rPr>
          <w:u w:val="single"/>
        </w:rPr>
        <w:t>Summary of the Argument</w:t>
      </w:r>
      <w:r>
        <w:t>:</w:t>
      </w:r>
    </w:p>
    <w:p w:rsidR="00052E51" w:rsidRPr="00D501C1" w:rsidRDefault="00052E51" w:rsidP="00052E51">
      <w:pPr>
        <w:ind w:firstLine="720"/>
      </w:pPr>
    </w:p>
    <w:p w:rsidR="00052E51" w:rsidRDefault="00052E51" w:rsidP="00052E51">
      <w:pPr>
        <w:ind w:left="720" w:right="720" w:firstLine="720"/>
      </w:pPr>
      <w:r w:rsidRPr="00301AB9">
        <w:t xml:space="preserve">The </w:t>
      </w:r>
      <w:r>
        <w:t xml:space="preserve">trial </w:t>
      </w:r>
      <w:r w:rsidRPr="00301AB9">
        <w:t xml:space="preserve">court allowed </w:t>
      </w:r>
      <w:r>
        <w:t>DCF’s</w:t>
      </w:r>
      <w:r w:rsidRPr="00301AB9">
        <w:t xml:space="preserve"> experts and the Child’s treating clinicians to vouch for the credibility of the Child, testify that she was sexually abused by Father, and compare her to sexually abused children.  This Court has long held that such vouching and comparisons are improper</w:t>
      </w:r>
      <w:r>
        <w:t xml:space="preserve"> and warrant reversal</w:t>
      </w:r>
      <w:r w:rsidRPr="00301AB9">
        <w:t xml:space="preserve">.  While the trial </w:t>
      </w:r>
      <w:r>
        <w:t>judge</w:t>
      </w:r>
      <w:r w:rsidRPr="00301AB9">
        <w:t xml:space="preserve"> </w:t>
      </w:r>
      <w:r>
        <w:t>in this case claimed that he did</w:t>
      </w:r>
      <w:r w:rsidRPr="00301AB9">
        <w:t xml:space="preserve"> not credit the expert vouching, the findings show that </w:t>
      </w:r>
      <w:r>
        <w:t xml:space="preserve">he did, in fact, rely </w:t>
      </w:r>
      <w:r w:rsidRPr="00301AB9">
        <w:t xml:space="preserve">on it extensively.  Several key findings </w:t>
      </w:r>
      <w:r>
        <w:t>reflect</w:t>
      </w:r>
      <w:r w:rsidRPr="00301AB9">
        <w:t xml:space="preserve"> that the experts believed </w:t>
      </w:r>
      <w:r>
        <w:t xml:space="preserve">that </w:t>
      </w:r>
      <w:r w:rsidRPr="00301AB9">
        <w:t>the child was telling the truth.</w:t>
      </w:r>
      <w:r>
        <w:t xml:space="preserve">  This prejudicial error requires a new trial.</w:t>
      </w:r>
      <w:r w:rsidRPr="00301AB9">
        <w:t xml:space="preserve">  (</w:t>
      </w:r>
      <w:r w:rsidRPr="00301AB9">
        <w:rPr>
          <w:u w:val="single"/>
        </w:rPr>
        <w:t>See</w:t>
      </w:r>
      <w:r w:rsidRPr="00301AB9">
        <w:t xml:space="preserve"> pages </w:t>
      </w:r>
      <w:r>
        <w:t>33</w:t>
      </w:r>
      <w:r w:rsidRPr="00301AB9">
        <w:t>-</w:t>
      </w:r>
      <w:r>
        <w:t>38</w:t>
      </w:r>
      <w:r w:rsidRPr="00301AB9">
        <w:t>).</w:t>
      </w:r>
    </w:p>
    <w:p w:rsidR="00052E51" w:rsidRDefault="00052E51" w:rsidP="00052E51">
      <w:pPr>
        <w:ind w:left="720" w:right="720" w:firstLine="720"/>
      </w:pPr>
    </w:p>
    <w:p w:rsidR="00052E51" w:rsidRPr="00894804" w:rsidRDefault="00052E51" w:rsidP="000228B3">
      <w:pPr>
        <w:ind w:right="720"/>
      </w:pPr>
      <w:r>
        <w:t xml:space="preserve">Even if your Argument is too short to require a Summary, it is a good idea to include one.  It is an opportunity to give the Appeals Court a preview of your arguments.  Why pass up an advocacy opportunity?  If your Summary is compelling, you may be able to convince the judges that you should win even before they read your Argument.  </w:t>
      </w:r>
    </w:p>
    <w:p w:rsidR="00B42AD5" w:rsidRDefault="00B42AD5" w:rsidP="00DE2FC0">
      <w:pPr>
        <w:pStyle w:val="ListParagraph"/>
        <w:tabs>
          <w:tab w:val="left" w:pos="720"/>
        </w:tabs>
        <w:ind w:right="720" w:hanging="720"/>
        <w:rPr>
          <w:b/>
          <w:szCs w:val="24"/>
          <w:u w:val="single"/>
        </w:rPr>
      </w:pPr>
    </w:p>
    <w:p w:rsidR="00DE2FC0" w:rsidRPr="00DE2FC0" w:rsidRDefault="00DE2FC0" w:rsidP="00DE2FC0">
      <w:pPr>
        <w:pStyle w:val="ListParagraph"/>
        <w:tabs>
          <w:tab w:val="left" w:pos="720"/>
        </w:tabs>
        <w:ind w:right="720" w:hanging="720"/>
        <w:rPr>
          <w:b/>
          <w:szCs w:val="24"/>
          <w:u w:val="single"/>
        </w:rPr>
      </w:pPr>
      <w:r w:rsidRPr="00DE2FC0">
        <w:rPr>
          <w:b/>
          <w:szCs w:val="24"/>
          <w:u w:val="single"/>
        </w:rPr>
        <w:t>Practice Tips</w:t>
      </w:r>
    </w:p>
    <w:p w:rsidR="00737EAE" w:rsidRDefault="00737EAE" w:rsidP="00737EAE">
      <w:pPr>
        <w:pStyle w:val="Heading1"/>
        <w:numPr>
          <w:ilvl w:val="0"/>
          <w:numId w:val="40"/>
        </w:numPr>
        <w:ind w:hanging="720"/>
        <w:rPr>
          <w:sz w:val="24"/>
          <w:szCs w:val="24"/>
          <w:lang w:val="en-US"/>
        </w:rPr>
      </w:pPr>
      <w:r>
        <w:rPr>
          <w:sz w:val="24"/>
          <w:szCs w:val="24"/>
          <w:lang w:val="en-US"/>
        </w:rPr>
        <w:t>Captions</w:t>
      </w:r>
    </w:p>
    <w:p w:rsidR="00737EAE" w:rsidRDefault="00737EAE" w:rsidP="00737EAE">
      <w:pPr>
        <w:pStyle w:val="Heading1"/>
        <w:rPr>
          <w:b w:val="0"/>
          <w:sz w:val="24"/>
          <w:szCs w:val="24"/>
          <w:lang w:val="en-US"/>
        </w:rPr>
      </w:pPr>
      <w:r w:rsidRPr="00737EAE">
        <w:rPr>
          <w:b w:val="0"/>
          <w:sz w:val="24"/>
          <w:szCs w:val="24"/>
          <w:lang w:val="en-US"/>
        </w:rPr>
        <w:t xml:space="preserve">We are still seeing incorrect captions on briefs.  The Appeals Court captions all orders and notices as “Department of Children and Families v. Sarah L.”  You can use that caption, too, on any motions filed in the Appeals Court prior to briefing.  But regardless of the caption used by the Appeals Court, Joseph Stanton, the Appeals Court Clerk, </w:t>
      </w:r>
      <w:r w:rsidR="00E85AA3">
        <w:rPr>
          <w:b w:val="0"/>
          <w:sz w:val="24"/>
          <w:szCs w:val="24"/>
          <w:lang w:val="en-US"/>
        </w:rPr>
        <w:t xml:space="preserve">has instructed us to caption our </w:t>
      </w:r>
      <w:r w:rsidRPr="00737EAE">
        <w:rPr>
          <w:b w:val="0"/>
          <w:sz w:val="24"/>
          <w:szCs w:val="24"/>
          <w:lang w:val="en-US"/>
        </w:rPr>
        <w:t>briefs as follows:</w:t>
      </w:r>
    </w:p>
    <w:p w:rsidR="00737EAE" w:rsidRDefault="00737EAE" w:rsidP="00737EAE">
      <w:pPr>
        <w:widowControl/>
        <w:numPr>
          <w:ilvl w:val="0"/>
          <w:numId w:val="6"/>
        </w:numPr>
        <w:rPr>
          <w:szCs w:val="24"/>
        </w:rPr>
      </w:pPr>
      <w:r>
        <w:rPr>
          <w:szCs w:val="24"/>
        </w:rPr>
        <w:t xml:space="preserve">For termination appeals, use “Adoption of Lisa S.” (where Lisa S. is the only subject child) or “Adoption of S. Children” (where there is more than one S. child).  If the children have different last names, you may use “Adoption of Lisa S. and Peter H.”  </w:t>
      </w:r>
    </w:p>
    <w:p w:rsidR="00737EAE" w:rsidRDefault="00737EAE" w:rsidP="00737EAE">
      <w:pPr>
        <w:widowControl/>
        <w:rPr>
          <w:szCs w:val="24"/>
        </w:rPr>
      </w:pPr>
    </w:p>
    <w:p w:rsidR="00737EAE" w:rsidRDefault="00737EAE" w:rsidP="00737EAE">
      <w:pPr>
        <w:widowControl/>
        <w:numPr>
          <w:ilvl w:val="0"/>
          <w:numId w:val="6"/>
        </w:numPr>
        <w:rPr>
          <w:szCs w:val="24"/>
        </w:rPr>
      </w:pPr>
      <w:r>
        <w:rPr>
          <w:szCs w:val="24"/>
        </w:rPr>
        <w:t>For care and protection/permanent custody appeals, use “Care and Protection of</w:t>
      </w:r>
      <w:r w:rsidR="00BB2D9A">
        <w:rPr>
          <w:szCs w:val="24"/>
        </w:rPr>
        <w:t xml:space="preserve"> Lisa S.” or “Care and Protection of S. Children</w:t>
      </w:r>
      <w:r>
        <w:rPr>
          <w:szCs w:val="24"/>
        </w:rPr>
        <w:t>”</w:t>
      </w:r>
    </w:p>
    <w:p w:rsidR="00737EAE" w:rsidRDefault="00737EAE" w:rsidP="00737EAE">
      <w:pPr>
        <w:widowControl/>
        <w:rPr>
          <w:szCs w:val="24"/>
        </w:rPr>
      </w:pPr>
    </w:p>
    <w:p w:rsidR="00737EAE" w:rsidRDefault="00737EAE" w:rsidP="00737EAE">
      <w:pPr>
        <w:widowControl/>
        <w:numPr>
          <w:ilvl w:val="0"/>
          <w:numId w:val="6"/>
        </w:numPr>
        <w:rPr>
          <w:szCs w:val="24"/>
        </w:rPr>
      </w:pPr>
      <w:r>
        <w:rPr>
          <w:szCs w:val="24"/>
        </w:rPr>
        <w:t>For guardianship appeals, use “Guardianship of Lisa</w:t>
      </w:r>
      <w:r w:rsidR="00BB2D9A">
        <w:rPr>
          <w:szCs w:val="24"/>
        </w:rPr>
        <w:t xml:space="preserve"> S.</w:t>
      </w:r>
      <w:r>
        <w:rPr>
          <w:szCs w:val="24"/>
        </w:rPr>
        <w:t xml:space="preserve">” or “Guardianship of </w:t>
      </w:r>
      <w:r w:rsidR="00BB2D9A">
        <w:rPr>
          <w:szCs w:val="24"/>
        </w:rPr>
        <w:t>S. Children</w:t>
      </w:r>
      <w:r>
        <w:rPr>
          <w:szCs w:val="24"/>
        </w:rPr>
        <w:t>”</w:t>
      </w:r>
    </w:p>
    <w:p w:rsidR="00737EAE" w:rsidRDefault="00737EAE" w:rsidP="00737EAE">
      <w:pPr>
        <w:widowControl/>
        <w:rPr>
          <w:szCs w:val="24"/>
        </w:rPr>
      </w:pPr>
    </w:p>
    <w:p w:rsidR="00737EAE" w:rsidRPr="00BC66C7" w:rsidRDefault="00737EAE" w:rsidP="00737EAE">
      <w:pPr>
        <w:widowControl/>
        <w:numPr>
          <w:ilvl w:val="0"/>
          <w:numId w:val="6"/>
        </w:numPr>
        <w:rPr>
          <w:szCs w:val="24"/>
        </w:rPr>
      </w:pPr>
      <w:r>
        <w:rPr>
          <w:szCs w:val="24"/>
        </w:rPr>
        <w:t>For CHINS appeals, use “Matter of Lisa</w:t>
      </w:r>
      <w:r w:rsidR="00BB2D9A">
        <w:rPr>
          <w:szCs w:val="24"/>
        </w:rPr>
        <w:t xml:space="preserve"> S.</w:t>
      </w:r>
      <w:r>
        <w:rPr>
          <w:szCs w:val="24"/>
        </w:rPr>
        <w:t>”</w:t>
      </w:r>
    </w:p>
    <w:p w:rsidR="00737EAE" w:rsidRDefault="00737EAE" w:rsidP="00737EAE">
      <w:pPr>
        <w:widowControl/>
        <w:rPr>
          <w:b/>
          <w:szCs w:val="24"/>
          <w:u w:val="single"/>
        </w:rPr>
      </w:pPr>
    </w:p>
    <w:p w:rsidR="00737EAE" w:rsidRDefault="00E85AA3" w:rsidP="00737EAE">
      <w:pPr>
        <w:widowControl/>
        <w:rPr>
          <w:szCs w:val="24"/>
        </w:rPr>
      </w:pPr>
      <w:r>
        <w:rPr>
          <w:szCs w:val="24"/>
        </w:rPr>
        <w:t xml:space="preserve">And remember, </w:t>
      </w:r>
      <w:r w:rsidR="00737EAE">
        <w:rPr>
          <w:szCs w:val="24"/>
        </w:rPr>
        <w:t xml:space="preserve">please, please, please </w:t>
      </w:r>
      <w:r w:rsidRPr="00E85AA3">
        <w:rPr>
          <w:i/>
          <w:szCs w:val="24"/>
        </w:rPr>
        <w:t>never</w:t>
      </w:r>
      <w:r w:rsidR="00737EAE">
        <w:rPr>
          <w:szCs w:val="24"/>
        </w:rPr>
        <w:t xml:space="preserve"> use last names of parents and children on the cover or in the text of your brief.</w:t>
      </w:r>
    </w:p>
    <w:p w:rsidR="000228B3" w:rsidRDefault="000228B3" w:rsidP="00737EAE">
      <w:pPr>
        <w:widowControl/>
        <w:rPr>
          <w:szCs w:val="24"/>
        </w:rPr>
      </w:pPr>
    </w:p>
    <w:p w:rsidR="006D7420" w:rsidRDefault="006D7420" w:rsidP="00737EAE">
      <w:pPr>
        <w:widowControl/>
        <w:rPr>
          <w:szCs w:val="24"/>
        </w:rPr>
      </w:pPr>
    </w:p>
    <w:p w:rsidR="006D7420" w:rsidRDefault="006D7420" w:rsidP="00737EAE">
      <w:pPr>
        <w:widowControl/>
        <w:rPr>
          <w:szCs w:val="24"/>
        </w:rPr>
      </w:pPr>
    </w:p>
    <w:p w:rsidR="006D7420" w:rsidRDefault="006D7420" w:rsidP="00737EAE">
      <w:pPr>
        <w:widowControl/>
        <w:rPr>
          <w:szCs w:val="24"/>
        </w:rPr>
      </w:pPr>
    </w:p>
    <w:p w:rsidR="00737EAE" w:rsidRPr="00E25335" w:rsidRDefault="00E25335" w:rsidP="00E25335">
      <w:pPr>
        <w:pStyle w:val="Heading1"/>
        <w:numPr>
          <w:ilvl w:val="0"/>
          <w:numId w:val="40"/>
        </w:numPr>
        <w:ind w:hanging="720"/>
        <w:rPr>
          <w:sz w:val="24"/>
          <w:szCs w:val="24"/>
          <w:lang w:val="en-US"/>
        </w:rPr>
      </w:pPr>
      <w:r w:rsidRPr="00E25335">
        <w:rPr>
          <w:sz w:val="24"/>
          <w:szCs w:val="24"/>
          <w:lang w:val="en-US"/>
        </w:rPr>
        <w:lastRenderedPageBreak/>
        <w:t>Unnecessary Motions</w:t>
      </w:r>
    </w:p>
    <w:p w:rsidR="00E25335" w:rsidRDefault="00E25335" w:rsidP="00737EAE">
      <w:pPr>
        <w:pStyle w:val="Heading1"/>
        <w:rPr>
          <w:b w:val="0"/>
          <w:sz w:val="24"/>
          <w:szCs w:val="24"/>
          <w:lang w:val="en-US"/>
        </w:rPr>
      </w:pPr>
      <w:r w:rsidRPr="00E25335">
        <w:rPr>
          <w:b w:val="0"/>
          <w:sz w:val="24"/>
          <w:szCs w:val="24"/>
          <w:lang w:val="en-US"/>
        </w:rPr>
        <w:t>You do not need to file a</w:t>
      </w:r>
      <w:r>
        <w:rPr>
          <w:b w:val="0"/>
          <w:sz w:val="24"/>
          <w:szCs w:val="24"/>
          <w:lang w:val="en-US"/>
        </w:rPr>
        <w:t xml:space="preserve"> separate</w:t>
      </w:r>
      <w:r w:rsidRPr="00E25335">
        <w:rPr>
          <w:b w:val="0"/>
          <w:sz w:val="24"/>
          <w:szCs w:val="24"/>
          <w:lang w:val="en-US"/>
        </w:rPr>
        <w:t xml:space="preserve"> “motion to docket appeal.”  Your motion to waive the docketing fee</w:t>
      </w:r>
      <w:r>
        <w:rPr>
          <w:b w:val="0"/>
          <w:sz w:val="24"/>
          <w:szCs w:val="24"/>
          <w:lang w:val="en-US"/>
        </w:rPr>
        <w:t xml:space="preserve"> (with supporting affidavit)</w:t>
      </w:r>
      <w:r w:rsidRPr="00E25335">
        <w:rPr>
          <w:b w:val="0"/>
          <w:sz w:val="24"/>
          <w:szCs w:val="24"/>
          <w:lang w:val="en-US"/>
        </w:rPr>
        <w:t xml:space="preserve"> is sufficient. </w:t>
      </w:r>
      <w:r>
        <w:rPr>
          <w:b w:val="0"/>
          <w:sz w:val="24"/>
          <w:szCs w:val="24"/>
          <w:lang w:val="en-US"/>
        </w:rPr>
        <w:t xml:space="preserve"> If you wish, you can include a request that the Appeals Court docket the appeal i</w:t>
      </w:r>
      <w:r w:rsidRPr="00E25335">
        <w:rPr>
          <w:b w:val="0"/>
          <w:sz w:val="24"/>
          <w:szCs w:val="24"/>
          <w:lang w:val="en-US"/>
        </w:rPr>
        <w:t>n your cover</w:t>
      </w:r>
      <w:r w:rsidR="00BB2D9A">
        <w:rPr>
          <w:b w:val="0"/>
          <w:sz w:val="24"/>
          <w:szCs w:val="24"/>
          <w:lang w:val="en-US"/>
        </w:rPr>
        <w:t>/filing</w:t>
      </w:r>
      <w:r w:rsidRPr="00E25335">
        <w:rPr>
          <w:b w:val="0"/>
          <w:sz w:val="24"/>
          <w:szCs w:val="24"/>
          <w:lang w:val="en-US"/>
        </w:rPr>
        <w:t xml:space="preserve"> letter </w:t>
      </w:r>
      <w:r w:rsidR="00BB2D9A">
        <w:rPr>
          <w:b w:val="0"/>
          <w:sz w:val="24"/>
          <w:szCs w:val="24"/>
          <w:lang w:val="en-US"/>
        </w:rPr>
        <w:t xml:space="preserve">for </w:t>
      </w:r>
      <w:r>
        <w:rPr>
          <w:b w:val="0"/>
          <w:sz w:val="24"/>
          <w:szCs w:val="24"/>
          <w:lang w:val="en-US"/>
        </w:rPr>
        <w:t xml:space="preserve">the </w:t>
      </w:r>
      <w:r w:rsidRPr="00E25335">
        <w:rPr>
          <w:b w:val="0"/>
          <w:sz w:val="24"/>
          <w:szCs w:val="24"/>
          <w:lang w:val="en-US"/>
        </w:rPr>
        <w:t>motion</w:t>
      </w:r>
      <w:r>
        <w:rPr>
          <w:b w:val="0"/>
          <w:sz w:val="24"/>
          <w:szCs w:val="24"/>
          <w:lang w:val="en-US"/>
        </w:rPr>
        <w:t xml:space="preserve"> and supporting affidavit</w:t>
      </w:r>
      <w:r w:rsidRPr="00E25335">
        <w:rPr>
          <w:b w:val="0"/>
          <w:sz w:val="24"/>
          <w:szCs w:val="24"/>
          <w:lang w:val="en-US"/>
        </w:rPr>
        <w:t xml:space="preserve">.  </w:t>
      </w:r>
    </w:p>
    <w:p w:rsidR="00737EAE" w:rsidRPr="00E25335" w:rsidRDefault="00E25335" w:rsidP="00737EAE">
      <w:pPr>
        <w:pStyle w:val="Heading1"/>
        <w:rPr>
          <w:b w:val="0"/>
          <w:sz w:val="24"/>
          <w:szCs w:val="24"/>
          <w:lang w:val="en-US"/>
        </w:rPr>
      </w:pPr>
      <w:r w:rsidRPr="00E25335">
        <w:rPr>
          <w:b w:val="0"/>
          <w:sz w:val="24"/>
          <w:szCs w:val="24"/>
          <w:lang w:val="en-US"/>
        </w:rPr>
        <w:t>Also, you do not need to file a “motion to impound”; just write “Impounded” in bold letters at the top of your brief (and</w:t>
      </w:r>
      <w:r w:rsidR="00BB2D9A">
        <w:rPr>
          <w:b w:val="0"/>
          <w:sz w:val="24"/>
          <w:szCs w:val="24"/>
          <w:lang w:val="en-US"/>
        </w:rPr>
        <w:t xml:space="preserve"> at the top of all</w:t>
      </w:r>
      <w:r w:rsidRPr="00E25335">
        <w:rPr>
          <w:b w:val="0"/>
          <w:sz w:val="24"/>
          <w:szCs w:val="24"/>
          <w:lang w:val="en-US"/>
        </w:rPr>
        <w:t xml:space="preserve"> other filings).  </w:t>
      </w:r>
    </w:p>
    <w:p w:rsidR="000303F9" w:rsidRPr="00DC6E60" w:rsidRDefault="000303F9" w:rsidP="00E25335">
      <w:pPr>
        <w:pStyle w:val="Heading1"/>
        <w:numPr>
          <w:ilvl w:val="0"/>
          <w:numId w:val="40"/>
        </w:numPr>
        <w:ind w:hanging="720"/>
        <w:rPr>
          <w:sz w:val="24"/>
          <w:szCs w:val="24"/>
        </w:rPr>
      </w:pPr>
      <w:r>
        <w:rPr>
          <w:sz w:val="24"/>
          <w:szCs w:val="24"/>
        </w:rPr>
        <w:t xml:space="preserve">Don’t </w:t>
      </w:r>
      <w:r w:rsidR="00DC6E60">
        <w:rPr>
          <w:sz w:val="24"/>
          <w:szCs w:val="24"/>
          <w:lang w:val="en-US"/>
        </w:rPr>
        <w:t xml:space="preserve">Skip out on </w:t>
      </w:r>
      <w:r w:rsidR="00DC6E60">
        <w:rPr>
          <w:sz w:val="24"/>
          <w:szCs w:val="24"/>
        </w:rPr>
        <w:t>Your Oral Argument</w:t>
      </w:r>
      <w:r w:rsidRPr="000303F9">
        <w:rPr>
          <w:b w:val="0"/>
          <w:sz w:val="24"/>
          <w:szCs w:val="24"/>
        </w:rPr>
        <w:t>.</w:t>
      </w:r>
    </w:p>
    <w:p w:rsidR="00DC6E60" w:rsidRPr="00DC6E60" w:rsidRDefault="00DC6E60" w:rsidP="00DC6E60">
      <w:pPr>
        <w:pStyle w:val="Heading1"/>
        <w:rPr>
          <w:b w:val="0"/>
          <w:sz w:val="24"/>
          <w:szCs w:val="24"/>
          <w:lang w:val="en-US"/>
        </w:rPr>
      </w:pPr>
      <w:r>
        <w:rPr>
          <w:b w:val="0"/>
          <w:sz w:val="24"/>
          <w:szCs w:val="24"/>
          <w:lang w:val="en-US"/>
        </w:rPr>
        <w:t xml:space="preserve">Nervous before oral argument?  We’ll moot-court you.  </w:t>
      </w:r>
      <w:r w:rsidRPr="00DC6E60">
        <w:rPr>
          <w:b w:val="0"/>
          <w:i/>
          <w:sz w:val="24"/>
          <w:szCs w:val="24"/>
          <w:lang w:val="en-US"/>
        </w:rPr>
        <w:t>Really</w:t>
      </w:r>
      <w:r>
        <w:rPr>
          <w:b w:val="0"/>
          <w:sz w:val="24"/>
          <w:szCs w:val="24"/>
          <w:lang w:val="en-US"/>
        </w:rPr>
        <w:t xml:space="preserve"> nervous?  We’ll talk you down.  Just don’t do what Mr. Finn, below, did.</w:t>
      </w:r>
    </w:p>
    <w:p w:rsidR="00DC6E60" w:rsidRPr="00DC6E60" w:rsidRDefault="00DC6E60" w:rsidP="00DC6E60">
      <w:pPr>
        <w:pStyle w:val="Heading1"/>
        <w:ind w:left="720"/>
        <w:rPr>
          <w:sz w:val="24"/>
          <w:szCs w:val="24"/>
        </w:rPr>
      </w:pPr>
      <w:r w:rsidRPr="00DC6E60">
        <w:rPr>
          <w:sz w:val="24"/>
          <w:szCs w:val="24"/>
        </w:rPr>
        <w:t>Lawyer is suspended for faking illness to avoid oral argument</w:t>
      </w:r>
    </w:p>
    <w:p w:rsidR="00DC6E60" w:rsidRPr="00DC6E60" w:rsidRDefault="00DC6E60" w:rsidP="00DC6E60">
      <w:pPr>
        <w:pStyle w:val="NormalWeb"/>
        <w:ind w:left="720"/>
      </w:pPr>
      <w:r w:rsidRPr="00DC6E60">
        <w:t>Posted Mar 19, 2014 10:36 AM CDT</w:t>
      </w:r>
      <w:r w:rsidRPr="00DC6E60">
        <w:br/>
        <w:t xml:space="preserve">By </w:t>
      </w:r>
      <w:hyperlink r:id="rId10" w:tooltip="View this author's information" w:history="1">
        <w:r w:rsidRPr="00DC6E60">
          <w:rPr>
            <w:rStyle w:val="Hyperlink"/>
            <w:color w:val="auto"/>
            <w:u w:val="none"/>
          </w:rPr>
          <w:t xml:space="preserve">Debra </w:t>
        </w:r>
        <w:proofErr w:type="spellStart"/>
        <w:r w:rsidRPr="00DC6E60">
          <w:rPr>
            <w:rStyle w:val="Hyperlink"/>
            <w:color w:val="auto"/>
            <w:u w:val="none"/>
          </w:rPr>
          <w:t>Cassens</w:t>
        </w:r>
        <w:proofErr w:type="spellEnd"/>
        <w:r w:rsidRPr="00DC6E60">
          <w:rPr>
            <w:rStyle w:val="Hyperlink"/>
            <w:color w:val="auto"/>
            <w:u w:val="none"/>
          </w:rPr>
          <w:t xml:space="preserve"> Weiss</w:t>
        </w:r>
      </w:hyperlink>
    </w:p>
    <w:p w:rsidR="00DC6E60" w:rsidRPr="00DC6E60" w:rsidRDefault="00DC6E60" w:rsidP="00DC6E60">
      <w:pPr>
        <w:pStyle w:val="NormalWeb"/>
        <w:ind w:left="720"/>
      </w:pPr>
      <w:r w:rsidRPr="00DC6E60">
        <w:t>An Illinois lawyer will be suspended for 60 days for faking an illness to avoid oral arguments before the Chicago-based 7th U.S. Circuit Court of Appeals.</w:t>
      </w:r>
    </w:p>
    <w:p w:rsidR="00DC6E60" w:rsidRPr="00DC6E60" w:rsidRDefault="00DC6E60" w:rsidP="00DC6E60">
      <w:pPr>
        <w:pStyle w:val="NormalWeb"/>
        <w:ind w:left="720"/>
      </w:pPr>
      <w:r w:rsidRPr="00DC6E60">
        <w:t xml:space="preserve">Michael Joseph Finn was suspended by consent in an </w:t>
      </w:r>
      <w:hyperlink r:id="rId11" w:tooltip="Illinois Supreme Court order" w:history="1">
        <w:r w:rsidRPr="00DC6E60">
          <w:rPr>
            <w:rStyle w:val="Hyperlink"/>
            <w:color w:val="auto"/>
            <w:u w:val="none"/>
          </w:rPr>
          <w:t>Illinois Supreme Court order</w:t>
        </w:r>
      </w:hyperlink>
      <w:r w:rsidRPr="00DC6E60">
        <w:t xml:space="preserve"> issued on Friday.</w:t>
      </w:r>
    </w:p>
    <w:p w:rsidR="00DC6E60" w:rsidRPr="00DC6E60" w:rsidRDefault="00DC6E60" w:rsidP="00DC6E60">
      <w:pPr>
        <w:pStyle w:val="NormalWeb"/>
        <w:ind w:left="720"/>
      </w:pPr>
      <w:r w:rsidRPr="00DC6E60">
        <w:t>Finn initially told the court clerk he had vomited the morning of April 14, 2011, and he could not make oral arguments that day, according to a petition filed by the Illinois Attorney Registration and Disciplinary Commission. Finn also asserted he was ill in an initial response to ethics authorities.</w:t>
      </w:r>
    </w:p>
    <w:p w:rsidR="00DC6E60" w:rsidRPr="00DC6E60" w:rsidRDefault="00DC6E60" w:rsidP="00DC6E60">
      <w:pPr>
        <w:pStyle w:val="NormalWeb"/>
        <w:ind w:left="720"/>
      </w:pPr>
      <w:r w:rsidRPr="00DC6E60">
        <w:t>Finn later admitted, however, that he had not been truthful. Finn felt unprepared for oral arguments, and that was the reason he missed the court appearance, the petition says. The matter was the first 7th Circuit criminal appeal that Finn had handled by himself.</w:t>
      </w:r>
    </w:p>
    <w:p w:rsidR="00DC6E60" w:rsidRPr="00DC6E60" w:rsidRDefault="00DC6E60" w:rsidP="00DC6E60">
      <w:pPr>
        <w:pStyle w:val="NormalWeb"/>
        <w:ind w:left="720"/>
      </w:pPr>
      <w:r w:rsidRPr="00DC6E60">
        <w:t>The 7th Circuit held oral arguments without Finn, and Finn’s client lost the appeal. In an order to show cause, the appeals court said Finn should supply medical documentation of his illness, such as a certificate showing his admission to a hospital emergency room. Finn supplied no documentation and he admitted he was medically capable of attending oral argument, according to the 7th Circuit opinion. The appeals court fined Finn $1,000.</w:t>
      </w:r>
    </w:p>
    <w:p w:rsidR="00DC6E60" w:rsidRPr="00DC6E60" w:rsidRDefault="00DC6E60" w:rsidP="00DC6E60">
      <w:pPr>
        <w:pStyle w:val="NormalWeb"/>
        <w:ind w:left="720"/>
      </w:pPr>
      <w:r w:rsidRPr="00DC6E60">
        <w:t xml:space="preserve">“To leave a client unrepresented on the morning of oral argument is nothing short of appalling,” the 7th Circuit said. Ethics regulators opened an investigation after receiving a copy of the </w:t>
      </w:r>
      <w:hyperlink r:id="rId12" w:tooltip="opinion" w:history="1">
        <w:r w:rsidRPr="00DC6E60">
          <w:rPr>
            <w:rStyle w:val="Hyperlink"/>
            <w:color w:val="auto"/>
            <w:u w:val="none"/>
          </w:rPr>
          <w:t>opinion</w:t>
        </w:r>
      </w:hyperlink>
      <w:r w:rsidRPr="00DC6E60">
        <w:t>.</w:t>
      </w:r>
    </w:p>
    <w:p w:rsidR="00DC6E60" w:rsidRPr="00DC6E60" w:rsidRDefault="00DC6E60" w:rsidP="00DC6E60">
      <w:pPr>
        <w:pStyle w:val="NormalWeb"/>
        <w:ind w:left="720"/>
      </w:pPr>
      <w:r w:rsidRPr="00DC6E60">
        <w:lastRenderedPageBreak/>
        <w:t>Finn is also required to pay $5,000 restitution to reimburse legal fees paid by his client’s mother and to repay the state’s client protection fund for any payments made as a result of his conduct.</w:t>
      </w:r>
    </w:p>
    <w:p w:rsidR="00DC6E60" w:rsidRPr="00DC6E60" w:rsidRDefault="00DC6E60" w:rsidP="00DC6E60">
      <w:pPr>
        <w:pStyle w:val="NormalWeb"/>
        <w:ind w:left="720"/>
      </w:pPr>
      <w:r w:rsidRPr="00DC6E60">
        <w:t>Finn did not immediately respond to a phone message seeking comment.</w:t>
      </w:r>
    </w:p>
    <w:p w:rsidR="00F5797E" w:rsidRPr="00DC6E60" w:rsidRDefault="00DC6E60" w:rsidP="00DC6E60">
      <w:pPr>
        <w:pStyle w:val="ListParagraph"/>
        <w:ind w:left="0" w:right="720"/>
        <w:rPr>
          <w:szCs w:val="24"/>
        </w:rPr>
      </w:pPr>
      <w:r w:rsidRPr="00DC6E60">
        <w:rPr>
          <w:szCs w:val="24"/>
        </w:rPr>
        <w:t>Oral argument can be nerve-wracking.  We’ll do everything we can to make it easier for you.</w:t>
      </w:r>
    </w:p>
    <w:sectPr w:rsidR="00F5797E" w:rsidRPr="00DC6E60" w:rsidSect="008C723C">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4D" w:rsidRDefault="00327C4D" w:rsidP="008C723C">
      <w:r>
        <w:separator/>
      </w:r>
    </w:p>
  </w:endnote>
  <w:endnote w:type="continuationSeparator" w:id="0">
    <w:p w:rsidR="00327C4D" w:rsidRDefault="00327C4D"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4D" w:rsidRDefault="00327C4D">
    <w:pPr>
      <w:pStyle w:val="Footer"/>
      <w:jc w:val="center"/>
    </w:pPr>
    <w:r>
      <w:fldChar w:fldCharType="begin"/>
    </w:r>
    <w:r>
      <w:instrText xml:space="preserve"> PAGE   \* MERGEFORMAT </w:instrText>
    </w:r>
    <w:r>
      <w:fldChar w:fldCharType="separate"/>
    </w:r>
    <w:r w:rsidR="00540B0C">
      <w:rPr>
        <w:noProof/>
      </w:rPr>
      <w:t>8</w:t>
    </w:r>
    <w:r>
      <w:fldChar w:fldCharType="end"/>
    </w:r>
  </w:p>
  <w:p w:rsidR="00327C4D" w:rsidRDefault="00327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4D" w:rsidRDefault="00327C4D" w:rsidP="008C723C">
      <w:r>
        <w:separator/>
      </w:r>
    </w:p>
  </w:footnote>
  <w:footnote w:type="continuationSeparator" w:id="0">
    <w:p w:rsidR="00327C4D" w:rsidRDefault="00327C4D"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nsid w:val="0A60394A"/>
    <w:multiLevelType w:val="hybridMultilevel"/>
    <w:tmpl w:val="A088FFA4"/>
    <w:lvl w:ilvl="0" w:tplc="DCA8A3D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D108F"/>
    <w:multiLevelType w:val="hybridMultilevel"/>
    <w:tmpl w:val="4D260F66"/>
    <w:lvl w:ilvl="0" w:tplc="4BBCEB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637FA"/>
    <w:multiLevelType w:val="hybridMultilevel"/>
    <w:tmpl w:val="2ADE14EA"/>
    <w:lvl w:ilvl="0" w:tplc="F6CEC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264F7"/>
    <w:multiLevelType w:val="hybridMultilevel"/>
    <w:tmpl w:val="2952B218"/>
    <w:lvl w:ilvl="0" w:tplc="8D42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8A28B4"/>
    <w:multiLevelType w:val="hybridMultilevel"/>
    <w:tmpl w:val="955E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3566F"/>
    <w:multiLevelType w:val="hybridMultilevel"/>
    <w:tmpl w:val="26C26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003D1"/>
    <w:multiLevelType w:val="multilevel"/>
    <w:tmpl w:val="3E1C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804FDD"/>
    <w:multiLevelType w:val="hybridMultilevel"/>
    <w:tmpl w:val="D58CDDC4"/>
    <w:lvl w:ilvl="0" w:tplc="21E8281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D06EC"/>
    <w:multiLevelType w:val="hybridMultilevel"/>
    <w:tmpl w:val="761CB3FE"/>
    <w:lvl w:ilvl="0" w:tplc="AD8AF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2E1061"/>
    <w:multiLevelType w:val="hybridMultilevel"/>
    <w:tmpl w:val="193A3914"/>
    <w:lvl w:ilvl="0" w:tplc="1F0EBDC4">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B93171A"/>
    <w:multiLevelType w:val="hybridMultilevel"/>
    <w:tmpl w:val="A9E2EFE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E4CDE"/>
    <w:multiLevelType w:val="hybridMultilevel"/>
    <w:tmpl w:val="6D58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76EF8"/>
    <w:multiLevelType w:val="hybridMultilevel"/>
    <w:tmpl w:val="D1D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146FC"/>
    <w:multiLevelType w:val="hybridMultilevel"/>
    <w:tmpl w:val="C4F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746E0"/>
    <w:multiLevelType w:val="hybridMultilevel"/>
    <w:tmpl w:val="D4A43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A6540"/>
    <w:multiLevelType w:val="hybridMultilevel"/>
    <w:tmpl w:val="C68EBDAA"/>
    <w:lvl w:ilvl="0" w:tplc="BE067FBC">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30F43"/>
    <w:multiLevelType w:val="hybridMultilevel"/>
    <w:tmpl w:val="0010A14C"/>
    <w:lvl w:ilvl="0" w:tplc="29C0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BF0BEA"/>
    <w:multiLevelType w:val="multilevel"/>
    <w:tmpl w:val="7E6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CE4A50"/>
    <w:multiLevelType w:val="hybridMultilevel"/>
    <w:tmpl w:val="5618325A"/>
    <w:lvl w:ilvl="0" w:tplc="67CC8A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244B15"/>
    <w:multiLevelType w:val="hybridMultilevel"/>
    <w:tmpl w:val="9F0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BDE7610"/>
    <w:multiLevelType w:val="hybridMultilevel"/>
    <w:tmpl w:val="075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697E7A"/>
    <w:multiLevelType w:val="hybridMultilevel"/>
    <w:tmpl w:val="E3A83F8E"/>
    <w:lvl w:ilvl="0" w:tplc="02D619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0AA70E6"/>
    <w:multiLevelType w:val="hybridMultilevel"/>
    <w:tmpl w:val="0AAE2EE2"/>
    <w:lvl w:ilvl="0" w:tplc="FB9C59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B6B72"/>
    <w:multiLevelType w:val="hybridMultilevel"/>
    <w:tmpl w:val="76FC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4E20FB"/>
    <w:multiLevelType w:val="hybridMultilevel"/>
    <w:tmpl w:val="184EE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86333"/>
    <w:multiLevelType w:val="hybridMultilevel"/>
    <w:tmpl w:val="D004E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E83418E"/>
    <w:multiLevelType w:val="hybridMultilevel"/>
    <w:tmpl w:val="9B544D42"/>
    <w:lvl w:ilvl="0" w:tplc="C29A0FF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F750B2A"/>
    <w:multiLevelType w:val="hybridMultilevel"/>
    <w:tmpl w:val="2F6238A6"/>
    <w:lvl w:ilvl="0" w:tplc="244E22C4">
      <w:start w:val="3"/>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416ACF"/>
    <w:multiLevelType w:val="hybridMultilevel"/>
    <w:tmpl w:val="7B084DA4"/>
    <w:lvl w:ilvl="0" w:tplc="6F12A20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66A76"/>
    <w:multiLevelType w:val="hybridMultilevel"/>
    <w:tmpl w:val="7DD00C82"/>
    <w:lvl w:ilvl="0" w:tplc="4D4814E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651CEC"/>
    <w:multiLevelType w:val="hybridMultilevel"/>
    <w:tmpl w:val="91A6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30299E"/>
    <w:multiLevelType w:val="hybridMultilevel"/>
    <w:tmpl w:val="A9081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125E10"/>
    <w:multiLevelType w:val="hybridMultilevel"/>
    <w:tmpl w:val="30464FC6"/>
    <w:lvl w:ilvl="0" w:tplc="DC6A8B9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3E4CAC"/>
    <w:multiLevelType w:val="hybridMultilevel"/>
    <w:tmpl w:val="E5BC0CA2"/>
    <w:lvl w:ilvl="0" w:tplc="C038D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FF31EA"/>
    <w:multiLevelType w:val="hybridMultilevel"/>
    <w:tmpl w:val="1D76AD04"/>
    <w:lvl w:ilvl="0" w:tplc="01626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5345CB"/>
    <w:multiLevelType w:val="hybridMultilevel"/>
    <w:tmpl w:val="908483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29222FC"/>
    <w:multiLevelType w:val="hybridMultilevel"/>
    <w:tmpl w:val="86EEC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E61D44"/>
    <w:multiLevelType w:val="hybridMultilevel"/>
    <w:tmpl w:val="CC5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49263B"/>
    <w:multiLevelType w:val="multilevel"/>
    <w:tmpl w:val="CE7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29"/>
  </w:num>
  <w:num w:numId="4">
    <w:abstractNumId w:val="3"/>
  </w:num>
  <w:num w:numId="5">
    <w:abstractNumId w:val="19"/>
  </w:num>
  <w:num w:numId="6">
    <w:abstractNumId w:val="38"/>
  </w:num>
  <w:num w:numId="7">
    <w:abstractNumId w:val="16"/>
  </w:num>
  <w:num w:numId="8">
    <w:abstractNumId w:val="15"/>
  </w:num>
  <w:num w:numId="9">
    <w:abstractNumId w:val="18"/>
  </w:num>
  <w:num w:numId="10">
    <w:abstractNumId w:val="20"/>
  </w:num>
  <w:num w:numId="11">
    <w:abstractNumId w:val="8"/>
  </w:num>
  <w:num w:numId="12">
    <w:abstractNumId w:val="34"/>
  </w:num>
  <w:num w:numId="13">
    <w:abstractNumId w:val="10"/>
  </w:num>
  <w:num w:numId="14">
    <w:abstractNumId w:val="9"/>
  </w:num>
  <w:num w:numId="15">
    <w:abstractNumId w:val="27"/>
  </w:num>
  <w:num w:numId="16">
    <w:abstractNumId w:val="33"/>
  </w:num>
  <w:num w:numId="17">
    <w:abstractNumId w:val="28"/>
  </w:num>
  <w:num w:numId="18">
    <w:abstractNumId w:val="13"/>
  </w:num>
  <w:num w:numId="19">
    <w:abstractNumId w:val="14"/>
  </w:num>
  <w:num w:numId="20">
    <w:abstractNumId w:val="36"/>
  </w:num>
  <w:num w:numId="21">
    <w:abstractNumId w:val="35"/>
  </w:num>
  <w:num w:numId="22">
    <w:abstractNumId w:val="30"/>
  </w:num>
  <w:num w:numId="23">
    <w:abstractNumId w:val="26"/>
  </w:num>
  <w:num w:numId="24">
    <w:abstractNumId w:val="21"/>
  </w:num>
  <w:num w:numId="25">
    <w:abstractNumId w:val="12"/>
  </w:num>
  <w:num w:numId="26">
    <w:abstractNumId w:val="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4"/>
  </w:num>
  <w:num w:numId="30">
    <w:abstractNumId w:val="6"/>
  </w:num>
  <w:num w:numId="31">
    <w:abstractNumId w:val="32"/>
  </w:num>
  <w:num w:numId="32">
    <w:abstractNumId w:val="22"/>
  </w:num>
  <w:num w:numId="33">
    <w:abstractNumId w:val="31"/>
  </w:num>
  <w:num w:numId="34">
    <w:abstractNumId w:val="1"/>
  </w:num>
  <w:num w:numId="35">
    <w:abstractNumId w:val="39"/>
  </w:num>
  <w:num w:numId="36">
    <w:abstractNumId w:val="11"/>
  </w:num>
  <w:num w:numId="37">
    <w:abstractNumId w:val="7"/>
  </w:num>
  <w:num w:numId="38">
    <w:abstractNumId w:val="37"/>
  </w:num>
  <w:num w:numId="39">
    <w:abstractNumId w:val="0"/>
  </w:num>
  <w:num w:numId="40">
    <w:abstractNumId w:val="25"/>
  </w:num>
  <w:num w:numId="41">
    <w:abstractNumId w:val="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01855"/>
    <w:rsid w:val="00014E3A"/>
    <w:rsid w:val="00015CB0"/>
    <w:rsid w:val="000228B3"/>
    <w:rsid w:val="000303F9"/>
    <w:rsid w:val="00031C06"/>
    <w:rsid w:val="00034B3A"/>
    <w:rsid w:val="000359C8"/>
    <w:rsid w:val="00040BD4"/>
    <w:rsid w:val="00047282"/>
    <w:rsid w:val="00052E51"/>
    <w:rsid w:val="000553F9"/>
    <w:rsid w:val="000609B1"/>
    <w:rsid w:val="00075A80"/>
    <w:rsid w:val="00087255"/>
    <w:rsid w:val="00097C14"/>
    <w:rsid w:val="000A0CBF"/>
    <w:rsid w:val="000B1D45"/>
    <w:rsid w:val="000B536B"/>
    <w:rsid w:val="000D4F6F"/>
    <w:rsid w:val="000D541C"/>
    <w:rsid w:val="000E0979"/>
    <w:rsid w:val="000E120F"/>
    <w:rsid w:val="000F44A3"/>
    <w:rsid w:val="000F5516"/>
    <w:rsid w:val="000F5D17"/>
    <w:rsid w:val="000F6336"/>
    <w:rsid w:val="001015E8"/>
    <w:rsid w:val="00107F2D"/>
    <w:rsid w:val="00112710"/>
    <w:rsid w:val="001173F0"/>
    <w:rsid w:val="00124938"/>
    <w:rsid w:val="00130944"/>
    <w:rsid w:val="0013236B"/>
    <w:rsid w:val="00136440"/>
    <w:rsid w:val="00142179"/>
    <w:rsid w:val="00156BE7"/>
    <w:rsid w:val="0016275E"/>
    <w:rsid w:val="00165ADC"/>
    <w:rsid w:val="00171B19"/>
    <w:rsid w:val="001723CB"/>
    <w:rsid w:val="001923B2"/>
    <w:rsid w:val="00192C50"/>
    <w:rsid w:val="001A6E5C"/>
    <w:rsid w:val="001B245A"/>
    <w:rsid w:val="001B52A1"/>
    <w:rsid w:val="001C3C99"/>
    <w:rsid w:val="001C4061"/>
    <w:rsid w:val="001C6EBD"/>
    <w:rsid w:val="001D5EC5"/>
    <w:rsid w:val="001D78C1"/>
    <w:rsid w:val="001E0318"/>
    <w:rsid w:val="001E1A86"/>
    <w:rsid w:val="001E7ECD"/>
    <w:rsid w:val="001F7F9D"/>
    <w:rsid w:val="0020075D"/>
    <w:rsid w:val="00201DF5"/>
    <w:rsid w:val="00207465"/>
    <w:rsid w:val="00213B82"/>
    <w:rsid w:val="00216694"/>
    <w:rsid w:val="00220ADD"/>
    <w:rsid w:val="00234B9D"/>
    <w:rsid w:val="002375D2"/>
    <w:rsid w:val="00250E96"/>
    <w:rsid w:val="00251F3D"/>
    <w:rsid w:val="00255082"/>
    <w:rsid w:val="00262D2E"/>
    <w:rsid w:val="00271926"/>
    <w:rsid w:val="00273C29"/>
    <w:rsid w:val="0029583B"/>
    <w:rsid w:val="002966E6"/>
    <w:rsid w:val="00297744"/>
    <w:rsid w:val="002A24C4"/>
    <w:rsid w:val="002A7AF6"/>
    <w:rsid w:val="002B51BF"/>
    <w:rsid w:val="002C7A28"/>
    <w:rsid w:val="002D0C1A"/>
    <w:rsid w:val="002D0C4F"/>
    <w:rsid w:val="002D31EA"/>
    <w:rsid w:val="002D6E20"/>
    <w:rsid w:val="002D7F19"/>
    <w:rsid w:val="002E03EC"/>
    <w:rsid w:val="002F3363"/>
    <w:rsid w:val="002F4B0E"/>
    <w:rsid w:val="002F5D91"/>
    <w:rsid w:val="002F608B"/>
    <w:rsid w:val="00305F2A"/>
    <w:rsid w:val="00306AC3"/>
    <w:rsid w:val="00321E87"/>
    <w:rsid w:val="00327C4D"/>
    <w:rsid w:val="00345767"/>
    <w:rsid w:val="003557CE"/>
    <w:rsid w:val="003566EB"/>
    <w:rsid w:val="00360EEC"/>
    <w:rsid w:val="00373105"/>
    <w:rsid w:val="00373F82"/>
    <w:rsid w:val="003A13A3"/>
    <w:rsid w:val="003A441B"/>
    <w:rsid w:val="003A6558"/>
    <w:rsid w:val="003B2A5B"/>
    <w:rsid w:val="003C4586"/>
    <w:rsid w:val="003C5724"/>
    <w:rsid w:val="003D3ABB"/>
    <w:rsid w:val="003E01BB"/>
    <w:rsid w:val="003E225D"/>
    <w:rsid w:val="003F04A3"/>
    <w:rsid w:val="003F15EE"/>
    <w:rsid w:val="0040322A"/>
    <w:rsid w:val="00411B61"/>
    <w:rsid w:val="00413C49"/>
    <w:rsid w:val="0041443A"/>
    <w:rsid w:val="004167EA"/>
    <w:rsid w:val="004264CF"/>
    <w:rsid w:val="00427E0D"/>
    <w:rsid w:val="0043761B"/>
    <w:rsid w:val="00440AE3"/>
    <w:rsid w:val="00443848"/>
    <w:rsid w:val="00444170"/>
    <w:rsid w:val="004442D3"/>
    <w:rsid w:val="00452C67"/>
    <w:rsid w:val="004610BE"/>
    <w:rsid w:val="0047326F"/>
    <w:rsid w:val="004749B5"/>
    <w:rsid w:val="00480A91"/>
    <w:rsid w:val="00483FAD"/>
    <w:rsid w:val="004860B8"/>
    <w:rsid w:val="00487278"/>
    <w:rsid w:val="0049142E"/>
    <w:rsid w:val="00494042"/>
    <w:rsid w:val="0049696A"/>
    <w:rsid w:val="00496B64"/>
    <w:rsid w:val="004975CA"/>
    <w:rsid w:val="00497A23"/>
    <w:rsid w:val="004A5A2C"/>
    <w:rsid w:val="004A7C8B"/>
    <w:rsid w:val="004C02A3"/>
    <w:rsid w:val="004C5DBE"/>
    <w:rsid w:val="004D0E84"/>
    <w:rsid w:val="004D4664"/>
    <w:rsid w:val="004D4AD5"/>
    <w:rsid w:val="004E584E"/>
    <w:rsid w:val="004E7199"/>
    <w:rsid w:val="004F773C"/>
    <w:rsid w:val="00503CFE"/>
    <w:rsid w:val="00506CFD"/>
    <w:rsid w:val="00507A5D"/>
    <w:rsid w:val="005164CA"/>
    <w:rsid w:val="005168E8"/>
    <w:rsid w:val="00520365"/>
    <w:rsid w:val="0052325E"/>
    <w:rsid w:val="00540B0C"/>
    <w:rsid w:val="00557C0A"/>
    <w:rsid w:val="005615FF"/>
    <w:rsid w:val="00572AA7"/>
    <w:rsid w:val="0057669C"/>
    <w:rsid w:val="00576EA3"/>
    <w:rsid w:val="00577922"/>
    <w:rsid w:val="005800AD"/>
    <w:rsid w:val="005811A5"/>
    <w:rsid w:val="00582103"/>
    <w:rsid w:val="0059746D"/>
    <w:rsid w:val="005A0036"/>
    <w:rsid w:val="005B59FD"/>
    <w:rsid w:val="005C5BD3"/>
    <w:rsid w:val="005D2630"/>
    <w:rsid w:val="005E0EDF"/>
    <w:rsid w:val="005F0332"/>
    <w:rsid w:val="005F0A12"/>
    <w:rsid w:val="005F209C"/>
    <w:rsid w:val="005F5D5F"/>
    <w:rsid w:val="005F66E1"/>
    <w:rsid w:val="005F78C6"/>
    <w:rsid w:val="00605BBE"/>
    <w:rsid w:val="00623BD3"/>
    <w:rsid w:val="00627250"/>
    <w:rsid w:val="0062782D"/>
    <w:rsid w:val="006349B8"/>
    <w:rsid w:val="006442A6"/>
    <w:rsid w:val="00653AC7"/>
    <w:rsid w:val="00665D25"/>
    <w:rsid w:val="00671921"/>
    <w:rsid w:val="00672669"/>
    <w:rsid w:val="006803C4"/>
    <w:rsid w:val="00686789"/>
    <w:rsid w:val="00686990"/>
    <w:rsid w:val="00687129"/>
    <w:rsid w:val="006B5EC6"/>
    <w:rsid w:val="006C0DDC"/>
    <w:rsid w:val="006C71B7"/>
    <w:rsid w:val="006C7884"/>
    <w:rsid w:val="006D3335"/>
    <w:rsid w:val="006D3924"/>
    <w:rsid w:val="006D7420"/>
    <w:rsid w:val="006E557B"/>
    <w:rsid w:val="006F10A7"/>
    <w:rsid w:val="006F3314"/>
    <w:rsid w:val="00706F4A"/>
    <w:rsid w:val="007114C6"/>
    <w:rsid w:val="00723A21"/>
    <w:rsid w:val="00725D3C"/>
    <w:rsid w:val="00736E8E"/>
    <w:rsid w:val="00737A5A"/>
    <w:rsid w:val="00737EAE"/>
    <w:rsid w:val="0074074C"/>
    <w:rsid w:val="00741FE1"/>
    <w:rsid w:val="00745FE3"/>
    <w:rsid w:val="00750FCE"/>
    <w:rsid w:val="00771350"/>
    <w:rsid w:val="007749FF"/>
    <w:rsid w:val="0078008A"/>
    <w:rsid w:val="00783F5F"/>
    <w:rsid w:val="007A01C4"/>
    <w:rsid w:val="007B3A1A"/>
    <w:rsid w:val="007B5638"/>
    <w:rsid w:val="007B61BE"/>
    <w:rsid w:val="007B7C28"/>
    <w:rsid w:val="007C2961"/>
    <w:rsid w:val="007D4CED"/>
    <w:rsid w:val="007D4EB1"/>
    <w:rsid w:val="007D64DA"/>
    <w:rsid w:val="007E1BC0"/>
    <w:rsid w:val="007F070E"/>
    <w:rsid w:val="007F2AF0"/>
    <w:rsid w:val="00802233"/>
    <w:rsid w:val="00804C8F"/>
    <w:rsid w:val="00805866"/>
    <w:rsid w:val="0080783E"/>
    <w:rsid w:val="008135BA"/>
    <w:rsid w:val="008211ED"/>
    <w:rsid w:val="0082355B"/>
    <w:rsid w:val="00826963"/>
    <w:rsid w:val="00830896"/>
    <w:rsid w:val="0083691D"/>
    <w:rsid w:val="008826EE"/>
    <w:rsid w:val="00893D55"/>
    <w:rsid w:val="008A58DF"/>
    <w:rsid w:val="008B36A5"/>
    <w:rsid w:val="008B619D"/>
    <w:rsid w:val="008B7A30"/>
    <w:rsid w:val="008B7BC0"/>
    <w:rsid w:val="008C17EA"/>
    <w:rsid w:val="008C723C"/>
    <w:rsid w:val="008E12BE"/>
    <w:rsid w:val="008F52D3"/>
    <w:rsid w:val="008F616E"/>
    <w:rsid w:val="0090175B"/>
    <w:rsid w:val="009053E3"/>
    <w:rsid w:val="009061FE"/>
    <w:rsid w:val="00913C68"/>
    <w:rsid w:val="00914B9B"/>
    <w:rsid w:val="0093293F"/>
    <w:rsid w:val="00933CDF"/>
    <w:rsid w:val="00936860"/>
    <w:rsid w:val="009369B4"/>
    <w:rsid w:val="00937C4C"/>
    <w:rsid w:val="0094473F"/>
    <w:rsid w:val="00946AA5"/>
    <w:rsid w:val="00952269"/>
    <w:rsid w:val="00956FE7"/>
    <w:rsid w:val="0096268E"/>
    <w:rsid w:val="009639C3"/>
    <w:rsid w:val="009646E7"/>
    <w:rsid w:val="00970E4F"/>
    <w:rsid w:val="0097368E"/>
    <w:rsid w:val="00973F3B"/>
    <w:rsid w:val="00974005"/>
    <w:rsid w:val="00984D82"/>
    <w:rsid w:val="009940CA"/>
    <w:rsid w:val="0099600C"/>
    <w:rsid w:val="009A1436"/>
    <w:rsid w:val="009C27B0"/>
    <w:rsid w:val="009C5B08"/>
    <w:rsid w:val="009C616B"/>
    <w:rsid w:val="009D53A6"/>
    <w:rsid w:val="009E7376"/>
    <w:rsid w:val="009F038C"/>
    <w:rsid w:val="009F62BB"/>
    <w:rsid w:val="00A03DF5"/>
    <w:rsid w:val="00A133A3"/>
    <w:rsid w:val="00A14DC5"/>
    <w:rsid w:val="00A204AD"/>
    <w:rsid w:val="00A27391"/>
    <w:rsid w:val="00A30F15"/>
    <w:rsid w:val="00A3243C"/>
    <w:rsid w:val="00A44666"/>
    <w:rsid w:val="00A5574A"/>
    <w:rsid w:val="00A61CF3"/>
    <w:rsid w:val="00A63DC0"/>
    <w:rsid w:val="00A71A8F"/>
    <w:rsid w:val="00A71F73"/>
    <w:rsid w:val="00A8182A"/>
    <w:rsid w:val="00AA66BF"/>
    <w:rsid w:val="00AA7D35"/>
    <w:rsid w:val="00AB2CE6"/>
    <w:rsid w:val="00AB4268"/>
    <w:rsid w:val="00AB5533"/>
    <w:rsid w:val="00AC1D5D"/>
    <w:rsid w:val="00AC30A0"/>
    <w:rsid w:val="00AC78D8"/>
    <w:rsid w:val="00AD51FB"/>
    <w:rsid w:val="00AE7F98"/>
    <w:rsid w:val="00AF0A44"/>
    <w:rsid w:val="00AF3DA5"/>
    <w:rsid w:val="00B022BE"/>
    <w:rsid w:val="00B054F6"/>
    <w:rsid w:val="00B14102"/>
    <w:rsid w:val="00B242FA"/>
    <w:rsid w:val="00B42AD5"/>
    <w:rsid w:val="00B43A8F"/>
    <w:rsid w:val="00B508E8"/>
    <w:rsid w:val="00B53805"/>
    <w:rsid w:val="00B61133"/>
    <w:rsid w:val="00B61942"/>
    <w:rsid w:val="00B63822"/>
    <w:rsid w:val="00B6694A"/>
    <w:rsid w:val="00B74E07"/>
    <w:rsid w:val="00B82F19"/>
    <w:rsid w:val="00B93140"/>
    <w:rsid w:val="00BA161C"/>
    <w:rsid w:val="00BA4794"/>
    <w:rsid w:val="00BA5C17"/>
    <w:rsid w:val="00BB2D9A"/>
    <w:rsid w:val="00BB4CA9"/>
    <w:rsid w:val="00BC1FED"/>
    <w:rsid w:val="00BC2648"/>
    <w:rsid w:val="00BC51EF"/>
    <w:rsid w:val="00BC60E4"/>
    <w:rsid w:val="00BC66C7"/>
    <w:rsid w:val="00BD04F6"/>
    <w:rsid w:val="00BD2D1F"/>
    <w:rsid w:val="00BE31FC"/>
    <w:rsid w:val="00BF08EF"/>
    <w:rsid w:val="00BF4F96"/>
    <w:rsid w:val="00C05C0B"/>
    <w:rsid w:val="00C3282F"/>
    <w:rsid w:val="00C36A99"/>
    <w:rsid w:val="00C4147B"/>
    <w:rsid w:val="00C4679C"/>
    <w:rsid w:val="00C8093F"/>
    <w:rsid w:val="00C92558"/>
    <w:rsid w:val="00CB1B75"/>
    <w:rsid w:val="00CB719D"/>
    <w:rsid w:val="00CC603F"/>
    <w:rsid w:val="00CE3290"/>
    <w:rsid w:val="00CF255D"/>
    <w:rsid w:val="00CF5C27"/>
    <w:rsid w:val="00D04014"/>
    <w:rsid w:val="00D056A6"/>
    <w:rsid w:val="00D4635B"/>
    <w:rsid w:val="00D47F4D"/>
    <w:rsid w:val="00D501D6"/>
    <w:rsid w:val="00D502B0"/>
    <w:rsid w:val="00D51789"/>
    <w:rsid w:val="00D55861"/>
    <w:rsid w:val="00D62B6D"/>
    <w:rsid w:val="00D65782"/>
    <w:rsid w:val="00D92929"/>
    <w:rsid w:val="00D93E09"/>
    <w:rsid w:val="00D95614"/>
    <w:rsid w:val="00DA5493"/>
    <w:rsid w:val="00DB7E27"/>
    <w:rsid w:val="00DC3F5E"/>
    <w:rsid w:val="00DC499E"/>
    <w:rsid w:val="00DC6E60"/>
    <w:rsid w:val="00DD2AA9"/>
    <w:rsid w:val="00DD6943"/>
    <w:rsid w:val="00DD6CF5"/>
    <w:rsid w:val="00DD7305"/>
    <w:rsid w:val="00DE03EF"/>
    <w:rsid w:val="00DE2FC0"/>
    <w:rsid w:val="00DF02D4"/>
    <w:rsid w:val="00DF0733"/>
    <w:rsid w:val="00DF3E3C"/>
    <w:rsid w:val="00DF6671"/>
    <w:rsid w:val="00DF6AB7"/>
    <w:rsid w:val="00E07542"/>
    <w:rsid w:val="00E22D40"/>
    <w:rsid w:val="00E24A8E"/>
    <w:rsid w:val="00E25335"/>
    <w:rsid w:val="00E34DCF"/>
    <w:rsid w:val="00E4435A"/>
    <w:rsid w:val="00E44FA1"/>
    <w:rsid w:val="00E55826"/>
    <w:rsid w:val="00E6275E"/>
    <w:rsid w:val="00E63F25"/>
    <w:rsid w:val="00E81588"/>
    <w:rsid w:val="00E81BAD"/>
    <w:rsid w:val="00E83E96"/>
    <w:rsid w:val="00E85AA3"/>
    <w:rsid w:val="00E95DE4"/>
    <w:rsid w:val="00E96669"/>
    <w:rsid w:val="00ED04A4"/>
    <w:rsid w:val="00ED70A6"/>
    <w:rsid w:val="00EF1B5B"/>
    <w:rsid w:val="00EF5115"/>
    <w:rsid w:val="00EF68C4"/>
    <w:rsid w:val="00F02054"/>
    <w:rsid w:val="00F066AB"/>
    <w:rsid w:val="00F15FEF"/>
    <w:rsid w:val="00F23D81"/>
    <w:rsid w:val="00F24386"/>
    <w:rsid w:val="00F25849"/>
    <w:rsid w:val="00F26BB7"/>
    <w:rsid w:val="00F40654"/>
    <w:rsid w:val="00F44146"/>
    <w:rsid w:val="00F56507"/>
    <w:rsid w:val="00F5797E"/>
    <w:rsid w:val="00F81ECB"/>
    <w:rsid w:val="00F91CDD"/>
    <w:rsid w:val="00F97D15"/>
    <w:rsid w:val="00FA3550"/>
    <w:rsid w:val="00FD4F9D"/>
    <w:rsid w:val="00FE0E34"/>
    <w:rsid w:val="00FE50AE"/>
    <w:rsid w:val="00FE6D6C"/>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485631885">
      <w:bodyDiv w:val="1"/>
      <w:marLeft w:val="0"/>
      <w:marRight w:val="0"/>
      <w:marTop w:val="0"/>
      <w:marBottom w:val="0"/>
      <w:divBdr>
        <w:top w:val="none" w:sz="0" w:space="0" w:color="auto"/>
        <w:left w:val="none" w:sz="0" w:space="0" w:color="auto"/>
        <w:bottom w:val="none" w:sz="0" w:space="0" w:color="auto"/>
        <w:right w:val="none" w:sz="0" w:space="0" w:color="auto"/>
      </w:divBdr>
      <w:divsChild>
        <w:div w:id="660738718">
          <w:marLeft w:val="0"/>
          <w:marRight w:val="0"/>
          <w:marTop w:val="0"/>
          <w:marBottom w:val="0"/>
          <w:divBdr>
            <w:top w:val="none" w:sz="0" w:space="0" w:color="auto"/>
            <w:left w:val="none" w:sz="0" w:space="0" w:color="auto"/>
            <w:bottom w:val="none" w:sz="0" w:space="0" w:color="auto"/>
            <w:right w:val="none" w:sz="0" w:space="0" w:color="auto"/>
          </w:divBdr>
        </w:div>
        <w:div w:id="1249849091">
          <w:marLeft w:val="0"/>
          <w:marRight w:val="0"/>
          <w:marTop w:val="0"/>
          <w:marBottom w:val="0"/>
          <w:divBdr>
            <w:top w:val="none" w:sz="0" w:space="0" w:color="auto"/>
            <w:left w:val="none" w:sz="0" w:space="0" w:color="auto"/>
            <w:bottom w:val="none" w:sz="0" w:space="0" w:color="auto"/>
            <w:right w:val="none" w:sz="0" w:space="0" w:color="auto"/>
          </w:divBdr>
        </w:div>
        <w:div w:id="786121909">
          <w:marLeft w:val="0"/>
          <w:marRight w:val="0"/>
          <w:marTop w:val="0"/>
          <w:marBottom w:val="0"/>
          <w:divBdr>
            <w:top w:val="none" w:sz="0" w:space="0" w:color="auto"/>
            <w:left w:val="none" w:sz="0" w:space="0" w:color="auto"/>
            <w:bottom w:val="none" w:sz="0" w:space="0" w:color="auto"/>
            <w:right w:val="none" w:sz="0" w:space="0" w:color="auto"/>
          </w:divBdr>
        </w:div>
        <w:div w:id="2090079309">
          <w:marLeft w:val="0"/>
          <w:marRight w:val="0"/>
          <w:marTop w:val="0"/>
          <w:marBottom w:val="0"/>
          <w:divBdr>
            <w:top w:val="none" w:sz="0" w:space="0" w:color="auto"/>
            <w:left w:val="none" w:sz="0" w:space="0" w:color="auto"/>
            <w:bottom w:val="none" w:sz="0" w:space="0" w:color="auto"/>
            <w:right w:val="none" w:sz="0" w:space="0" w:color="auto"/>
          </w:divBdr>
        </w:div>
        <w:div w:id="1695768578">
          <w:marLeft w:val="0"/>
          <w:marRight w:val="0"/>
          <w:marTop w:val="0"/>
          <w:marBottom w:val="0"/>
          <w:divBdr>
            <w:top w:val="none" w:sz="0" w:space="0" w:color="auto"/>
            <w:left w:val="none" w:sz="0" w:space="0" w:color="auto"/>
            <w:bottom w:val="none" w:sz="0" w:space="0" w:color="auto"/>
            <w:right w:val="none" w:sz="0" w:space="0" w:color="auto"/>
          </w:divBdr>
        </w:div>
        <w:div w:id="1646427038">
          <w:marLeft w:val="0"/>
          <w:marRight w:val="0"/>
          <w:marTop w:val="0"/>
          <w:marBottom w:val="0"/>
          <w:divBdr>
            <w:top w:val="none" w:sz="0" w:space="0" w:color="auto"/>
            <w:left w:val="none" w:sz="0" w:space="0" w:color="auto"/>
            <w:bottom w:val="none" w:sz="0" w:space="0" w:color="auto"/>
            <w:right w:val="none" w:sz="0" w:space="0" w:color="auto"/>
          </w:divBdr>
        </w:div>
        <w:div w:id="334840040">
          <w:marLeft w:val="0"/>
          <w:marRight w:val="0"/>
          <w:marTop w:val="0"/>
          <w:marBottom w:val="0"/>
          <w:divBdr>
            <w:top w:val="none" w:sz="0" w:space="0" w:color="auto"/>
            <w:left w:val="none" w:sz="0" w:space="0" w:color="auto"/>
            <w:bottom w:val="none" w:sz="0" w:space="0" w:color="auto"/>
            <w:right w:val="none" w:sz="0" w:space="0" w:color="auto"/>
          </w:divBdr>
        </w:div>
        <w:div w:id="651833839">
          <w:marLeft w:val="0"/>
          <w:marRight w:val="0"/>
          <w:marTop w:val="0"/>
          <w:marBottom w:val="0"/>
          <w:divBdr>
            <w:top w:val="none" w:sz="0" w:space="0" w:color="auto"/>
            <w:left w:val="none" w:sz="0" w:space="0" w:color="auto"/>
            <w:bottom w:val="none" w:sz="0" w:space="0" w:color="auto"/>
            <w:right w:val="none" w:sz="0" w:space="0" w:color="auto"/>
          </w:divBdr>
        </w:div>
        <w:div w:id="1025717966">
          <w:marLeft w:val="0"/>
          <w:marRight w:val="0"/>
          <w:marTop w:val="0"/>
          <w:marBottom w:val="0"/>
          <w:divBdr>
            <w:top w:val="none" w:sz="0" w:space="0" w:color="auto"/>
            <w:left w:val="none" w:sz="0" w:space="0" w:color="auto"/>
            <w:bottom w:val="none" w:sz="0" w:space="0" w:color="auto"/>
            <w:right w:val="none" w:sz="0" w:space="0" w:color="auto"/>
          </w:divBdr>
        </w:div>
        <w:div w:id="616791528">
          <w:marLeft w:val="0"/>
          <w:marRight w:val="0"/>
          <w:marTop w:val="0"/>
          <w:marBottom w:val="0"/>
          <w:divBdr>
            <w:top w:val="none" w:sz="0" w:space="0" w:color="auto"/>
            <w:left w:val="none" w:sz="0" w:space="0" w:color="auto"/>
            <w:bottom w:val="none" w:sz="0" w:space="0" w:color="auto"/>
            <w:right w:val="none" w:sz="0" w:space="0" w:color="auto"/>
          </w:divBdr>
        </w:div>
        <w:div w:id="1610426404">
          <w:marLeft w:val="0"/>
          <w:marRight w:val="0"/>
          <w:marTop w:val="0"/>
          <w:marBottom w:val="0"/>
          <w:divBdr>
            <w:top w:val="none" w:sz="0" w:space="0" w:color="auto"/>
            <w:left w:val="none" w:sz="0" w:space="0" w:color="auto"/>
            <w:bottom w:val="none" w:sz="0" w:space="0" w:color="auto"/>
            <w:right w:val="none" w:sz="0" w:space="0" w:color="auto"/>
          </w:divBdr>
        </w:div>
        <w:div w:id="240912193">
          <w:marLeft w:val="0"/>
          <w:marRight w:val="0"/>
          <w:marTop w:val="0"/>
          <w:marBottom w:val="0"/>
          <w:divBdr>
            <w:top w:val="none" w:sz="0" w:space="0" w:color="auto"/>
            <w:left w:val="none" w:sz="0" w:space="0" w:color="auto"/>
            <w:bottom w:val="none" w:sz="0" w:space="0" w:color="auto"/>
            <w:right w:val="none" w:sz="0" w:space="0" w:color="auto"/>
          </w:divBdr>
        </w:div>
        <w:div w:id="1318270469">
          <w:marLeft w:val="0"/>
          <w:marRight w:val="0"/>
          <w:marTop w:val="0"/>
          <w:marBottom w:val="0"/>
          <w:divBdr>
            <w:top w:val="none" w:sz="0" w:space="0" w:color="auto"/>
            <w:left w:val="none" w:sz="0" w:space="0" w:color="auto"/>
            <w:bottom w:val="none" w:sz="0" w:space="0" w:color="auto"/>
            <w:right w:val="none" w:sz="0" w:space="0" w:color="auto"/>
          </w:divBdr>
        </w:div>
        <w:div w:id="1781099677">
          <w:marLeft w:val="0"/>
          <w:marRight w:val="0"/>
          <w:marTop w:val="0"/>
          <w:marBottom w:val="0"/>
          <w:divBdr>
            <w:top w:val="none" w:sz="0" w:space="0" w:color="auto"/>
            <w:left w:val="none" w:sz="0" w:space="0" w:color="auto"/>
            <w:bottom w:val="none" w:sz="0" w:space="0" w:color="auto"/>
            <w:right w:val="none" w:sz="0" w:space="0" w:color="auto"/>
          </w:divBdr>
        </w:div>
        <w:div w:id="1540170377">
          <w:marLeft w:val="0"/>
          <w:marRight w:val="0"/>
          <w:marTop w:val="0"/>
          <w:marBottom w:val="0"/>
          <w:divBdr>
            <w:top w:val="none" w:sz="0" w:space="0" w:color="auto"/>
            <w:left w:val="none" w:sz="0" w:space="0" w:color="auto"/>
            <w:bottom w:val="none" w:sz="0" w:space="0" w:color="auto"/>
            <w:right w:val="none" w:sz="0" w:space="0" w:color="auto"/>
          </w:divBdr>
        </w:div>
        <w:div w:id="2136020441">
          <w:marLeft w:val="0"/>
          <w:marRight w:val="0"/>
          <w:marTop w:val="0"/>
          <w:marBottom w:val="0"/>
          <w:divBdr>
            <w:top w:val="none" w:sz="0" w:space="0" w:color="auto"/>
            <w:left w:val="none" w:sz="0" w:space="0" w:color="auto"/>
            <w:bottom w:val="none" w:sz="0" w:space="0" w:color="auto"/>
            <w:right w:val="none" w:sz="0" w:space="0" w:color="auto"/>
          </w:divBdr>
        </w:div>
        <w:div w:id="908734829">
          <w:marLeft w:val="0"/>
          <w:marRight w:val="0"/>
          <w:marTop w:val="0"/>
          <w:marBottom w:val="0"/>
          <w:divBdr>
            <w:top w:val="none" w:sz="0" w:space="0" w:color="auto"/>
            <w:left w:val="none" w:sz="0" w:space="0" w:color="auto"/>
            <w:bottom w:val="none" w:sz="0" w:space="0" w:color="auto"/>
            <w:right w:val="none" w:sz="0" w:space="0" w:color="auto"/>
          </w:divBdr>
        </w:div>
        <w:div w:id="850334014">
          <w:marLeft w:val="0"/>
          <w:marRight w:val="0"/>
          <w:marTop w:val="0"/>
          <w:marBottom w:val="0"/>
          <w:divBdr>
            <w:top w:val="none" w:sz="0" w:space="0" w:color="auto"/>
            <w:left w:val="none" w:sz="0" w:space="0" w:color="auto"/>
            <w:bottom w:val="none" w:sz="0" w:space="0" w:color="auto"/>
            <w:right w:val="none" w:sz="0" w:space="0" w:color="auto"/>
          </w:divBdr>
        </w:div>
        <w:div w:id="2069113595">
          <w:marLeft w:val="0"/>
          <w:marRight w:val="0"/>
          <w:marTop w:val="0"/>
          <w:marBottom w:val="0"/>
          <w:divBdr>
            <w:top w:val="none" w:sz="0" w:space="0" w:color="auto"/>
            <w:left w:val="none" w:sz="0" w:space="0" w:color="auto"/>
            <w:bottom w:val="none" w:sz="0" w:space="0" w:color="auto"/>
            <w:right w:val="none" w:sz="0" w:space="0" w:color="auto"/>
          </w:divBdr>
        </w:div>
        <w:div w:id="8216547">
          <w:marLeft w:val="0"/>
          <w:marRight w:val="0"/>
          <w:marTop w:val="0"/>
          <w:marBottom w:val="0"/>
          <w:divBdr>
            <w:top w:val="none" w:sz="0" w:space="0" w:color="auto"/>
            <w:left w:val="none" w:sz="0" w:space="0" w:color="auto"/>
            <w:bottom w:val="none" w:sz="0" w:space="0" w:color="auto"/>
            <w:right w:val="none" w:sz="0" w:space="0" w:color="auto"/>
          </w:divBdr>
        </w:div>
        <w:div w:id="656492912">
          <w:marLeft w:val="0"/>
          <w:marRight w:val="0"/>
          <w:marTop w:val="0"/>
          <w:marBottom w:val="0"/>
          <w:divBdr>
            <w:top w:val="none" w:sz="0" w:space="0" w:color="auto"/>
            <w:left w:val="none" w:sz="0" w:space="0" w:color="auto"/>
            <w:bottom w:val="none" w:sz="0" w:space="0" w:color="auto"/>
            <w:right w:val="none" w:sz="0" w:space="0" w:color="auto"/>
          </w:divBdr>
        </w:div>
        <w:div w:id="2062440743">
          <w:marLeft w:val="0"/>
          <w:marRight w:val="0"/>
          <w:marTop w:val="0"/>
          <w:marBottom w:val="0"/>
          <w:divBdr>
            <w:top w:val="none" w:sz="0" w:space="0" w:color="auto"/>
            <w:left w:val="none" w:sz="0" w:space="0" w:color="auto"/>
            <w:bottom w:val="none" w:sz="0" w:space="0" w:color="auto"/>
            <w:right w:val="none" w:sz="0" w:space="0" w:color="auto"/>
          </w:divBdr>
        </w:div>
        <w:div w:id="1098670552">
          <w:marLeft w:val="0"/>
          <w:marRight w:val="0"/>
          <w:marTop w:val="0"/>
          <w:marBottom w:val="0"/>
          <w:divBdr>
            <w:top w:val="none" w:sz="0" w:space="0" w:color="auto"/>
            <w:left w:val="none" w:sz="0" w:space="0" w:color="auto"/>
            <w:bottom w:val="none" w:sz="0" w:space="0" w:color="auto"/>
            <w:right w:val="none" w:sz="0" w:space="0" w:color="auto"/>
          </w:divBdr>
        </w:div>
        <w:div w:id="943850262">
          <w:marLeft w:val="0"/>
          <w:marRight w:val="0"/>
          <w:marTop w:val="0"/>
          <w:marBottom w:val="0"/>
          <w:divBdr>
            <w:top w:val="none" w:sz="0" w:space="0" w:color="auto"/>
            <w:left w:val="none" w:sz="0" w:space="0" w:color="auto"/>
            <w:bottom w:val="none" w:sz="0" w:space="0" w:color="auto"/>
            <w:right w:val="none" w:sz="0" w:space="0" w:color="auto"/>
          </w:divBdr>
        </w:div>
        <w:div w:id="1511481388">
          <w:marLeft w:val="0"/>
          <w:marRight w:val="0"/>
          <w:marTop w:val="0"/>
          <w:marBottom w:val="0"/>
          <w:divBdr>
            <w:top w:val="none" w:sz="0" w:space="0" w:color="auto"/>
            <w:left w:val="none" w:sz="0" w:space="0" w:color="auto"/>
            <w:bottom w:val="none" w:sz="0" w:space="0" w:color="auto"/>
            <w:right w:val="none" w:sz="0" w:space="0" w:color="auto"/>
          </w:divBdr>
        </w:div>
        <w:div w:id="608665364">
          <w:marLeft w:val="0"/>
          <w:marRight w:val="0"/>
          <w:marTop w:val="0"/>
          <w:marBottom w:val="0"/>
          <w:divBdr>
            <w:top w:val="none" w:sz="0" w:space="0" w:color="auto"/>
            <w:left w:val="none" w:sz="0" w:space="0" w:color="auto"/>
            <w:bottom w:val="none" w:sz="0" w:space="0" w:color="auto"/>
            <w:right w:val="none" w:sz="0" w:space="0" w:color="auto"/>
          </w:divBdr>
        </w:div>
        <w:div w:id="1481995618">
          <w:marLeft w:val="0"/>
          <w:marRight w:val="0"/>
          <w:marTop w:val="0"/>
          <w:marBottom w:val="0"/>
          <w:divBdr>
            <w:top w:val="none" w:sz="0" w:space="0" w:color="auto"/>
            <w:left w:val="none" w:sz="0" w:space="0" w:color="auto"/>
            <w:bottom w:val="none" w:sz="0" w:space="0" w:color="auto"/>
            <w:right w:val="none" w:sz="0" w:space="0" w:color="auto"/>
          </w:divBdr>
        </w:div>
        <w:div w:id="1474634450">
          <w:marLeft w:val="0"/>
          <w:marRight w:val="0"/>
          <w:marTop w:val="0"/>
          <w:marBottom w:val="0"/>
          <w:divBdr>
            <w:top w:val="none" w:sz="0" w:space="0" w:color="auto"/>
            <w:left w:val="none" w:sz="0" w:space="0" w:color="auto"/>
            <w:bottom w:val="none" w:sz="0" w:space="0" w:color="auto"/>
            <w:right w:val="none" w:sz="0" w:space="0" w:color="auto"/>
          </w:divBdr>
        </w:div>
        <w:div w:id="1980986911">
          <w:marLeft w:val="0"/>
          <w:marRight w:val="0"/>
          <w:marTop w:val="0"/>
          <w:marBottom w:val="0"/>
          <w:divBdr>
            <w:top w:val="none" w:sz="0" w:space="0" w:color="auto"/>
            <w:left w:val="none" w:sz="0" w:space="0" w:color="auto"/>
            <w:bottom w:val="none" w:sz="0" w:space="0" w:color="auto"/>
            <w:right w:val="none" w:sz="0" w:space="0" w:color="auto"/>
          </w:divBdr>
        </w:div>
        <w:div w:id="852914588">
          <w:marLeft w:val="0"/>
          <w:marRight w:val="0"/>
          <w:marTop w:val="0"/>
          <w:marBottom w:val="0"/>
          <w:divBdr>
            <w:top w:val="none" w:sz="0" w:space="0" w:color="auto"/>
            <w:left w:val="none" w:sz="0" w:space="0" w:color="auto"/>
            <w:bottom w:val="none" w:sz="0" w:space="0" w:color="auto"/>
            <w:right w:val="none" w:sz="0" w:space="0" w:color="auto"/>
          </w:divBdr>
        </w:div>
      </w:divsChild>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601111255">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
    <w:div w:id="776214397">
      <w:bodyDiv w:val="1"/>
      <w:marLeft w:val="0"/>
      <w:marRight w:val="0"/>
      <w:marTop w:val="0"/>
      <w:marBottom w:val="0"/>
      <w:divBdr>
        <w:top w:val="none" w:sz="0" w:space="0" w:color="auto"/>
        <w:left w:val="none" w:sz="0" w:space="0" w:color="auto"/>
        <w:bottom w:val="none" w:sz="0" w:space="0" w:color="auto"/>
        <w:right w:val="none" w:sz="0" w:space="0" w:color="auto"/>
      </w:divBdr>
    </w:div>
    <w:div w:id="909387553">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145004754">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574856769">
      <w:bodyDiv w:val="1"/>
      <w:marLeft w:val="0"/>
      <w:marRight w:val="0"/>
      <w:marTop w:val="0"/>
      <w:marBottom w:val="0"/>
      <w:divBdr>
        <w:top w:val="none" w:sz="0" w:space="0" w:color="auto"/>
        <w:left w:val="none" w:sz="0" w:space="0" w:color="auto"/>
        <w:bottom w:val="none" w:sz="0" w:space="0" w:color="auto"/>
        <w:right w:val="none" w:sz="0" w:space="0" w:color="auto"/>
      </w:divBdr>
      <w:divsChild>
        <w:div w:id="1388185676">
          <w:marLeft w:val="0"/>
          <w:marRight w:val="0"/>
          <w:marTop w:val="0"/>
          <w:marBottom w:val="0"/>
          <w:divBdr>
            <w:top w:val="none" w:sz="0" w:space="0" w:color="auto"/>
            <w:left w:val="none" w:sz="0" w:space="0" w:color="auto"/>
            <w:bottom w:val="none" w:sz="0" w:space="0" w:color="auto"/>
            <w:right w:val="none" w:sz="0" w:space="0" w:color="auto"/>
          </w:divBdr>
        </w:div>
        <w:div w:id="1414551244">
          <w:marLeft w:val="0"/>
          <w:marRight w:val="0"/>
          <w:marTop w:val="0"/>
          <w:marBottom w:val="0"/>
          <w:divBdr>
            <w:top w:val="none" w:sz="0" w:space="0" w:color="auto"/>
            <w:left w:val="none" w:sz="0" w:space="0" w:color="auto"/>
            <w:bottom w:val="none" w:sz="0" w:space="0" w:color="auto"/>
            <w:right w:val="none" w:sz="0" w:space="0" w:color="auto"/>
          </w:divBdr>
        </w:div>
        <w:div w:id="766920705">
          <w:marLeft w:val="0"/>
          <w:marRight w:val="0"/>
          <w:marTop w:val="0"/>
          <w:marBottom w:val="0"/>
          <w:divBdr>
            <w:top w:val="none" w:sz="0" w:space="0" w:color="auto"/>
            <w:left w:val="none" w:sz="0" w:space="0" w:color="auto"/>
            <w:bottom w:val="none" w:sz="0" w:space="0" w:color="auto"/>
            <w:right w:val="none" w:sz="0" w:space="0" w:color="auto"/>
          </w:divBdr>
          <w:divsChild>
            <w:div w:id="1339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924">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780100719">
      <w:bodyDiv w:val="1"/>
      <w:marLeft w:val="0"/>
      <w:marRight w:val="0"/>
      <w:marTop w:val="0"/>
      <w:marBottom w:val="0"/>
      <w:divBdr>
        <w:top w:val="none" w:sz="0" w:space="0" w:color="auto"/>
        <w:left w:val="none" w:sz="0" w:space="0" w:color="auto"/>
        <w:bottom w:val="none" w:sz="0" w:space="0" w:color="auto"/>
        <w:right w:val="none" w:sz="0" w:space="0" w:color="auto"/>
      </w:divBdr>
    </w:div>
    <w:div w:id="1974486048">
      <w:bodyDiv w:val="1"/>
      <w:marLeft w:val="0"/>
      <w:marRight w:val="0"/>
      <w:marTop w:val="0"/>
      <w:marBottom w:val="0"/>
      <w:divBdr>
        <w:top w:val="none" w:sz="0" w:space="0" w:color="auto"/>
        <w:left w:val="none" w:sz="0" w:space="0" w:color="auto"/>
        <w:bottom w:val="none" w:sz="0" w:space="0" w:color="auto"/>
        <w:right w:val="none" w:sz="0" w:space="0" w:color="auto"/>
      </w:divBdr>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003123623">
      <w:bodyDiv w:val="1"/>
      <w:marLeft w:val="0"/>
      <w:marRight w:val="0"/>
      <w:marTop w:val="0"/>
      <w:marBottom w:val="0"/>
      <w:divBdr>
        <w:top w:val="none" w:sz="0" w:space="0" w:color="auto"/>
        <w:left w:val="none" w:sz="0" w:space="0" w:color="auto"/>
        <w:bottom w:val="none" w:sz="0" w:space="0" w:color="auto"/>
        <w:right w:val="none" w:sz="0" w:space="0" w:color="auto"/>
      </w:divBdr>
      <w:divsChild>
        <w:div w:id="507409841">
          <w:marLeft w:val="0"/>
          <w:marRight w:val="0"/>
          <w:marTop w:val="0"/>
          <w:marBottom w:val="0"/>
          <w:divBdr>
            <w:top w:val="none" w:sz="0" w:space="0" w:color="auto"/>
            <w:left w:val="none" w:sz="0" w:space="0" w:color="auto"/>
            <w:bottom w:val="none" w:sz="0" w:space="0" w:color="auto"/>
            <w:right w:val="none" w:sz="0" w:space="0" w:color="auto"/>
          </w:divBdr>
        </w:div>
        <w:div w:id="595987771">
          <w:marLeft w:val="0"/>
          <w:marRight w:val="0"/>
          <w:marTop w:val="0"/>
          <w:marBottom w:val="0"/>
          <w:divBdr>
            <w:top w:val="none" w:sz="0" w:space="0" w:color="auto"/>
            <w:left w:val="none" w:sz="0" w:space="0" w:color="auto"/>
            <w:bottom w:val="none" w:sz="0" w:space="0" w:color="auto"/>
            <w:right w:val="none" w:sz="0" w:space="0" w:color="auto"/>
          </w:divBdr>
        </w:div>
        <w:div w:id="197011502">
          <w:marLeft w:val="0"/>
          <w:marRight w:val="0"/>
          <w:marTop w:val="0"/>
          <w:marBottom w:val="0"/>
          <w:divBdr>
            <w:top w:val="none" w:sz="0" w:space="0" w:color="auto"/>
            <w:left w:val="none" w:sz="0" w:space="0" w:color="auto"/>
            <w:bottom w:val="none" w:sz="0" w:space="0" w:color="auto"/>
            <w:right w:val="none" w:sz="0" w:space="0" w:color="auto"/>
          </w:divBdr>
        </w:div>
      </w:divsChild>
    </w:div>
    <w:div w:id="2032605372">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selaw.findlaw.com/us-7th-circuit/158035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ardc.org/co_recentdiscdec_copy9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bajournal.com/authors/4/" TargetMode="External"/><Relationship Id="rId4" Type="http://schemas.microsoft.com/office/2007/relationships/stylesWithEffects" Target="stylesWithEffects.xml"/><Relationship Id="rId9" Type="http://schemas.openxmlformats.org/officeDocument/2006/relationships/hyperlink" Target="http://www.mass.gov/courts/case-legal-res/appellate-opin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4EDF-37F4-4B8D-BA13-6023E788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2977</Words>
  <Characters>16969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19907</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Jaime Prince</cp:lastModifiedBy>
  <cp:revision>2</cp:revision>
  <cp:lastPrinted>2013-01-23T21:29:00Z</cp:lastPrinted>
  <dcterms:created xsi:type="dcterms:W3CDTF">2014-08-19T20:37:00Z</dcterms:created>
  <dcterms:modified xsi:type="dcterms:W3CDTF">2014-08-19T20:37:00Z</dcterms:modified>
</cp:coreProperties>
</file>