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bookmarkStart w:id="0" w:name="_GoBack"/>
      <w:bookmarkEnd w:id="0"/>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r>
        <w:rPr>
          <w:i/>
        </w:rPr>
        <w:t>44 Bromfield Street, Boston, MA 02108</w:t>
      </w:r>
    </w:p>
    <w:p w:rsidR="00AC30A0" w:rsidRDefault="00AC30A0" w:rsidP="00AC30A0">
      <w:pPr>
        <w:jc w:val="center"/>
      </w:pPr>
      <w:r>
        <w:rPr>
          <w:i/>
        </w:rPr>
        <w:t>Phone: (617) 482-6212, Fax: (617) 988-8455</w:t>
      </w:r>
    </w:p>
    <w:p w:rsidR="00AC30A0" w:rsidRDefault="00AC30A0" w:rsidP="00AC30A0">
      <w:r>
        <w:tab/>
      </w:r>
      <w:r>
        <w:tab/>
      </w:r>
      <w:r>
        <w:tab/>
      </w:r>
    </w:p>
    <w:p w:rsidR="00AC30A0" w:rsidRPr="00201DF5" w:rsidRDefault="00201DF5" w:rsidP="00AC30A0">
      <w:pPr>
        <w:jc w:val="center"/>
        <w:rPr>
          <w:b/>
          <w:sz w:val="30"/>
        </w:rPr>
      </w:pPr>
      <w:r w:rsidRPr="00201DF5">
        <w:rPr>
          <w:b/>
          <w:sz w:val="30"/>
        </w:rPr>
        <w:t>APPELLATE BULLETIN</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034B3A">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r w:rsidR="000C45C5">
        <w:rPr>
          <w:szCs w:val="24"/>
        </w:rPr>
        <w:t xml:space="preserve">, </w:t>
      </w:r>
      <w:r w:rsidRPr="00045951">
        <w:rPr>
          <w:szCs w:val="24"/>
        </w:rPr>
        <w:t xml:space="preserve">CAFL </w:t>
      </w:r>
      <w:r>
        <w:rPr>
          <w:szCs w:val="24"/>
        </w:rPr>
        <w:t>Division</w:t>
      </w:r>
    </w:p>
    <w:p w:rsidR="00220ADD" w:rsidRDefault="00952269" w:rsidP="00AC30A0">
      <w:pPr>
        <w:ind w:right="720"/>
        <w:rPr>
          <w:szCs w:val="24"/>
        </w:rPr>
      </w:pPr>
      <w:r>
        <w:rPr>
          <w:szCs w:val="24"/>
        </w:rPr>
        <w:tab/>
        <w:t>Jaime Prince, Staff Attorney, CAFL</w:t>
      </w:r>
      <w:r w:rsidR="00383337">
        <w:rPr>
          <w:szCs w:val="24"/>
        </w:rPr>
        <w:t xml:space="preserve"> Division</w:t>
      </w:r>
    </w:p>
    <w:p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rsidR="00AC30A0" w:rsidRDefault="00AA66BF" w:rsidP="00AC30A0">
      <w:pPr>
        <w:tabs>
          <w:tab w:val="left" w:pos="720"/>
        </w:tabs>
        <w:ind w:right="720"/>
        <w:rPr>
          <w:szCs w:val="24"/>
        </w:rPr>
      </w:pPr>
      <w:r>
        <w:rPr>
          <w:szCs w:val="24"/>
        </w:rPr>
        <w:tab/>
      </w:r>
      <w:r w:rsidR="00AC30A0">
        <w:rPr>
          <w:szCs w:val="24"/>
        </w:rPr>
        <w:t>Recent Rule 1:28 Decisions</w:t>
      </w:r>
    </w:p>
    <w:p w:rsidR="008F616E" w:rsidRDefault="008F616E" w:rsidP="008F616E">
      <w:pPr>
        <w:tabs>
          <w:tab w:val="left" w:pos="720"/>
        </w:tabs>
        <w:ind w:right="720" w:firstLine="720"/>
        <w:rPr>
          <w:szCs w:val="24"/>
        </w:rPr>
      </w:pPr>
      <w:r>
        <w:rPr>
          <w:szCs w:val="24"/>
        </w:rPr>
        <w:t>Writing Tips</w:t>
      </w:r>
    </w:p>
    <w:p w:rsidR="00AB5533" w:rsidRDefault="008F616E" w:rsidP="008F616E">
      <w:pPr>
        <w:tabs>
          <w:tab w:val="left" w:pos="720"/>
        </w:tabs>
        <w:ind w:right="720" w:firstLine="720"/>
        <w:rPr>
          <w:szCs w:val="24"/>
        </w:rPr>
      </w:pPr>
      <w:r>
        <w:rPr>
          <w:szCs w:val="24"/>
        </w:rPr>
        <w:t>Practice</w:t>
      </w:r>
      <w:r w:rsidR="00970E4F">
        <w:rPr>
          <w:szCs w:val="24"/>
        </w:rPr>
        <w:t xml:space="preserve"> Tips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912A1A">
        <w:rPr>
          <w:szCs w:val="24"/>
        </w:rPr>
        <w:t>April</w:t>
      </w:r>
      <w:r w:rsidR="00383337">
        <w:rPr>
          <w:szCs w:val="24"/>
        </w:rPr>
        <w:t xml:space="preserve"> </w:t>
      </w:r>
      <w:r w:rsidR="0068459F">
        <w:rPr>
          <w:szCs w:val="24"/>
        </w:rPr>
        <w:t>21</w:t>
      </w:r>
      <w:r w:rsidR="00452C67">
        <w:rPr>
          <w:szCs w:val="24"/>
        </w:rPr>
        <w:t>, 201</w:t>
      </w:r>
      <w:r w:rsidR="00174D15">
        <w:rPr>
          <w:szCs w:val="24"/>
        </w:rPr>
        <w:t>6</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A14DC5" w:rsidRDefault="00A14DC5" w:rsidP="00AC30A0">
      <w:pPr>
        <w:widowControl/>
        <w:rPr>
          <w:b/>
          <w:szCs w:val="24"/>
          <w:u w:val="single"/>
        </w:rPr>
      </w:pPr>
      <w:r>
        <w:rPr>
          <w:b/>
          <w:szCs w:val="24"/>
          <w:u w:val="single"/>
        </w:rPr>
        <w:t>Administrative Matters</w:t>
      </w:r>
    </w:p>
    <w:p w:rsidR="00897E9B" w:rsidRDefault="00897E9B" w:rsidP="00AC30A0">
      <w:pPr>
        <w:widowControl/>
        <w:rPr>
          <w:b/>
          <w:szCs w:val="24"/>
          <w:u w:val="single"/>
        </w:rPr>
      </w:pPr>
    </w:p>
    <w:p w:rsidR="00DA6E5C" w:rsidRDefault="00DA6E5C" w:rsidP="00AC30A0">
      <w:pPr>
        <w:widowControl/>
        <w:rPr>
          <w:szCs w:val="24"/>
          <w:u w:val="single"/>
        </w:rPr>
      </w:pPr>
      <w:r>
        <w:rPr>
          <w:szCs w:val="24"/>
          <w:u w:val="single"/>
        </w:rPr>
        <w:t>Website</w:t>
      </w:r>
      <w:r w:rsidR="00174D15">
        <w:rPr>
          <w:szCs w:val="24"/>
          <w:u w:val="single"/>
        </w:rPr>
        <w:t xml:space="preserve"> Additions</w:t>
      </w:r>
    </w:p>
    <w:p w:rsidR="00DA6E5C" w:rsidRDefault="00DA6E5C" w:rsidP="00AC30A0">
      <w:pPr>
        <w:widowControl/>
        <w:rPr>
          <w:szCs w:val="24"/>
          <w:u w:val="single"/>
        </w:rPr>
      </w:pPr>
    </w:p>
    <w:p w:rsidR="00DA6E5C" w:rsidRDefault="00E17755" w:rsidP="00AC30A0">
      <w:pPr>
        <w:widowControl/>
        <w:rPr>
          <w:szCs w:val="24"/>
        </w:rPr>
      </w:pPr>
      <w:r>
        <w:rPr>
          <w:szCs w:val="24"/>
        </w:rPr>
        <w:t xml:space="preserve">CAFL recently added two new menu items to </w:t>
      </w:r>
      <w:r w:rsidR="000C45C5">
        <w:rPr>
          <w:szCs w:val="24"/>
        </w:rPr>
        <w:t>the CAFL</w:t>
      </w:r>
      <w:r>
        <w:rPr>
          <w:szCs w:val="24"/>
        </w:rPr>
        <w:t xml:space="preserve"> page on the website. </w:t>
      </w:r>
      <w:r w:rsidR="000C45C5">
        <w:rPr>
          <w:szCs w:val="24"/>
        </w:rPr>
        <w:t xml:space="preserve"> </w:t>
      </w:r>
      <w:r>
        <w:rPr>
          <w:szCs w:val="24"/>
        </w:rPr>
        <w:t>The first is a</w:t>
      </w:r>
      <w:r w:rsidR="000C45C5">
        <w:rPr>
          <w:szCs w:val="24"/>
        </w:rPr>
        <w:t>n</w:t>
      </w:r>
      <w:r>
        <w:rPr>
          <w:szCs w:val="24"/>
        </w:rPr>
        <w:t xml:space="preserve"> FAQ page for attorneys</w:t>
      </w:r>
      <w:r w:rsidR="000C45C5">
        <w:rPr>
          <w:szCs w:val="24"/>
        </w:rPr>
        <w:t xml:space="preserve"> that answers</w:t>
      </w:r>
      <w:r w:rsidR="00036529">
        <w:rPr>
          <w:szCs w:val="24"/>
        </w:rPr>
        <w:t xml:space="preserve"> frequently asked administrative questions</w:t>
      </w:r>
      <w:r w:rsidR="000C45C5">
        <w:rPr>
          <w:szCs w:val="24"/>
        </w:rPr>
        <w:t>.  We will expand it periodically</w:t>
      </w:r>
      <w:r w:rsidR="00036529">
        <w:rPr>
          <w:szCs w:val="24"/>
        </w:rPr>
        <w:t xml:space="preserve"> to include additional </w:t>
      </w:r>
      <w:r w:rsidR="000C45C5">
        <w:rPr>
          <w:szCs w:val="24"/>
        </w:rPr>
        <w:t>information</w:t>
      </w:r>
      <w:r w:rsidR="00036529">
        <w:rPr>
          <w:szCs w:val="24"/>
        </w:rPr>
        <w:t xml:space="preserve"> that you may</w:t>
      </w:r>
      <w:r w:rsidR="000C45C5">
        <w:rPr>
          <w:szCs w:val="24"/>
        </w:rPr>
        <w:t xml:space="preserve"> find helpful to your practice.  </w:t>
      </w:r>
      <w:r w:rsidR="00036529">
        <w:rPr>
          <w:szCs w:val="24"/>
        </w:rPr>
        <w:t xml:space="preserve">The second item is a CAFL practice tip of the month.  The tip may be administrative or more substantive.  Some tips won’t apply to appellate practitioners, but most will be relevant to all panel attorneys.  If you have any practice tips that you would like to see included on </w:t>
      </w:r>
      <w:r w:rsidR="000C45C5">
        <w:rPr>
          <w:szCs w:val="24"/>
        </w:rPr>
        <w:t>the FAQ</w:t>
      </w:r>
      <w:r w:rsidR="00036529">
        <w:rPr>
          <w:szCs w:val="24"/>
        </w:rPr>
        <w:t xml:space="preserve"> page, please contact Jaime Prince at </w:t>
      </w:r>
      <w:hyperlink r:id="rId9" w:history="1">
        <w:r w:rsidR="00036529" w:rsidRPr="00F3100A">
          <w:rPr>
            <w:rStyle w:val="Hyperlink"/>
            <w:szCs w:val="24"/>
          </w:rPr>
          <w:t>jprince@publiccounsel.net</w:t>
        </w:r>
      </w:hyperlink>
      <w:r w:rsidR="00036529">
        <w:rPr>
          <w:szCs w:val="24"/>
        </w:rPr>
        <w:t xml:space="preserve">. Links to these pages can be found on </w:t>
      </w:r>
      <w:r w:rsidR="00247963">
        <w:rPr>
          <w:szCs w:val="24"/>
        </w:rPr>
        <w:t xml:space="preserve">the </w:t>
      </w:r>
      <w:r w:rsidR="00036529">
        <w:rPr>
          <w:szCs w:val="24"/>
        </w:rPr>
        <w:t xml:space="preserve">top-right menu of the CAFL homepage. </w:t>
      </w:r>
      <w:r w:rsidR="00036529" w:rsidRPr="00036529">
        <w:rPr>
          <w:szCs w:val="24"/>
        </w:rPr>
        <w:t>(</w:t>
      </w:r>
      <w:hyperlink r:id="rId10" w:history="1">
        <w:r w:rsidR="00036529" w:rsidRPr="00036529">
          <w:rPr>
            <w:rStyle w:val="Hyperlink"/>
            <w:szCs w:val="24"/>
          </w:rPr>
          <w:t>https://www.publiccounsel.net/cafl/</w:t>
        </w:r>
      </w:hyperlink>
      <w:r w:rsidR="00036529" w:rsidRPr="00036529">
        <w:rPr>
          <w:szCs w:val="24"/>
        </w:rPr>
        <w:t>.)</w:t>
      </w:r>
    </w:p>
    <w:p w:rsidR="00AA66BF" w:rsidRDefault="00AA66BF" w:rsidP="00AC30A0">
      <w:pPr>
        <w:widowControl/>
        <w:rPr>
          <w:szCs w:val="24"/>
        </w:rPr>
      </w:pPr>
    </w:p>
    <w:p w:rsidR="009639C3" w:rsidRDefault="00AA66BF" w:rsidP="00AC30A0">
      <w:pPr>
        <w:widowControl/>
        <w:rPr>
          <w:szCs w:val="24"/>
        </w:rPr>
      </w:pPr>
      <w:r w:rsidRPr="00AA66BF">
        <w:rPr>
          <w:szCs w:val="24"/>
          <w:u w:val="single"/>
        </w:rPr>
        <w:t>Moot Courts</w:t>
      </w:r>
      <w:r>
        <w:rPr>
          <w:szCs w:val="24"/>
        </w:rPr>
        <w:t xml:space="preserve">  </w:t>
      </w:r>
    </w:p>
    <w:p w:rsidR="009639C3" w:rsidRDefault="009639C3" w:rsidP="00AC30A0">
      <w:pPr>
        <w:widowControl/>
        <w:rPr>
          <w:szCs w:val="24"/>
        </w:rPr>
      </w:pPr>
    </w:p>
    <w:p w:rsidR="00AA66BF" w:rsidRDefault="007A01C4" w:rsidP="00AC30A0">
      <w:pPr>
        <w:widowControl/>
        <w:rPr>
          <w:szCs w:val="24"/>
        </w:rPr>
      </w:pPr>
      <w:r>
        <w:rPr>
          <w:szCs w:val="24"/>
        </w:rPr>
        <w:t>I</w:t>
      </w:r>
      <w:r w:rsidR="00B40C29">
        <w:rPr>
          <w:szCs w:val="24"/>
        </w:rPr>
        <w:t xml:space="preserve">f you have an upcoming </w:t>
      </w:r>
      <w:r w:rsidR="00737EAE">
        <w:rPr>
          <w:szCs w:val="24"/>
        </w:rPr>
        <w:t>oral</w:t>
      </w:r>
      <w:r w:rsidR="0094473F">
        <w:rPr>
          <w:szCs w:val="24"/>
        </w:rPr>
        <w:t xml:space="preserve"> </w:t>
      </w:r>
      <w:r w:rsidR="00B40C29">
        <w:rPr>
          <w:szCs w:val="24"/>
        </w:rPr>
        <w:t xml:space="preserve">argument </w:t>
      </w:r>
      <w:r w:rsidR="00AA66BF">
        <w:rPr>
          <w:szCs w:val="24"/>
        </w:rPr>
        <w:t>and want to be moot-courted, call us.  Under some circumstances</w:t>
      </w:r>
      <w:r w:rsidR="009639C3">
        <w:rPr>
          <w:szCs w:val="24"/>
        </w:rPr>
        <w:t xml:space="preserve"> we can come out to your office or use </w:t>
      </w:r>
      <w:r w:rsidR="0020075D">
        <w:rPr>
          <w:szCs w:val="24"/>
        </w:rPr>
        <w:t xml:space="preserve">CAFL </w:t>
      </w:r>
      <w:r w:rsidR="009639C3">
        <w:rPr>
          <w:szCs w:val="24"/>
        </w:rPr>
        <w:t xml:space="preserve">staff space in Worcester. </w:t>
      </w:r>
      <w:r w:rsidR="002F3363">
        <w:rPr>
          <w:szCs w:val="24"/>
        </w:rPr>
        <w:t xml:space="preserve"> Remember, if you moot-court with someone from our administrative office, you will receive 2 CLE credits for the current fiscal year.</w:t>
      </w:r>
    </w:p>
    <w:p w:rsidR="006C7884" w:rsidRDefault="006C7884" w:rsidP="00AC30A0">
      <w:pPr>
        <w:widowControl/>
        <w:rPr>
          <w:szCs w:val="24"/>
        </w:rPr>
      </w:pPr>
    </w:p>
    <w:p w:rsidR="00AC30A0" w:rsidRDefault="00AA7D35" w:rsidP="00AC30A0">
      <w:pPr>
        <w:widowControl/>
        <w:rPr>
          <w:b/>
          <w:szCs w:val="24"/>
          <w:u w:val="single"/>
        </w:rPr>
      </w:pPr>
      <w:r>
        <w:rPr>
          <w:b/>
          <w:szCs w:val="24"/>
          <w:u w:val="single"/>
        </w:rPr>
        <w:t>Recent</w:t>
      </w:r>
      <w:r w:rsidR="00AC30A0">
        <w:rPr>
          <w:b/>
          <w:szCs w:val="24"/>
          <w:u w:val="single"/>
        </w:rPr>
        <w:t xml:space="preserve"> Rule 1:28 Decisions</w:t>
      </w:r>
    </w:p>
    <w:p w:rsidR="00544C81" w:rsidRDefault="00544C81" w:rsidP="00AC30A0">
      <w:pPr>
        <w:widowControl/>
        <w:rPr>
          <w:b/>
          <w:szCs w:val="24"/>
          <w:u w:val="single"/>
        </w:rPr>
      </w:pPr>
    </w:p>
    <w:p w:rsidR="00544C81" w:rsidRPr="00544C81" w:rsidRDefault="00544C81" w:rsidP="00AC30A0">
      <w:pPr>
        <w:widowControl/>
        <w:rPr>
          <w:szCs w:val="24"/>
        </w:rPr>
      </w:pPr>
      <w:r>
        <w:rPr>
          <w:szCs w:val="24"/>
        </w:rPr>
        <w:t>This bulletin c</w:t>
      </w:r>
      <w:r w:rsidR="00A274E1">
        <w:rPr>
          <w:szCs w:val="24"/>
        </w:rPr>
        <w:t>atches us up through August 31, 2015</w:t>
      </w:r>
      <w:r>
        <w:rPr>
          <w:szCs w:val="24"/>
        </w:rPr>
        <w:t xml:space="preserve">.  </w:t>
      </w:r>
      <w:r w:rsidR="00A274E1">
        <w:rPr>
          <w:szCs w:val="24"/>
        </w:rPr>
        <w:t xml:space="preserve">We </w:t>
      </w:r>
      <w:r w:rsidR="000C45C5">
        <w:rPr>
          <w:szCs w:val="24"/>
        </w:rPr>
        <w:t>have not summarized</w:t>
      </w:r>
      <w:r w:rsidR="00A274E1">
        <w:rPr>
          <w:szCs w:val="24"/>
        </w:rPr>
        <w:t xml:space="preserve"> all unpublished </w:t>
      </w:r>
      <w:r w:rsidR="000C45C5">
        <w:rPr>
          <w:szCs w:val="24"/>
        </w:rPr>
        <w:t xml:space="preserve">child welfare </w:t>
      </w:r>
      <w:r w:rsidR="00A274E1">
        <w:rPr>
          <w:szCs w:val="24"/>
        </w:rPr>
        <w:t>decisions</w:t>
      </w:r>
      <w:r w:rsidR="000C45C5">
        <w:rPr>
          <w:szCs w:val="24"/>
        </w:rPr>
        <w:t>; rather,</w:t>
      </w:r>
      <w:r w:rsidR="00A52A8D">
        <w:rPr>
          <w:szCs w:val="24"/>
        </w:rPr>
        <w:t xml:space="preserve"> we include</w:t>
      </w:r>
      <w:r w:rsidR="000C45C5">
        <w:rPr>
          <w:szCs w:val="24"/>
        </w:rPr>
        <w:t xml:space="preserve"> only</w:t>
      </w:r>
      <w:r w:rsidR="00A52A8D">
        <w:rPr>
          <w:szCs w:val="24"/>
        </w:rPr>
        <w:t xml:space="preserve"> those with interesting facts and</w:t>
      </w:r>
      <w:r w:rsidR="000C45C5">
        <w:rPr>
          <w:szCs w:val="24"/>
        </w:rPr>
        <w:t>/or</w:t>
      </w:r>
      <w:r w:rsidR="00A52A8D">
        <w:rPr>
          <w:szCs w:val="24"/>
        </w:rPr>
        <w:t xml:space="preserve"> legal issues</w:t>
      </w:r>
      <w:r w:rsidR="00A274E1">
        <w:rPr>
          <w:szCs w:val="24"/>
        </w:rPr>
        <w:t>.  I</w:t>
      </w:r>
      <w:r>
        <w:rPr>
          <w:szCs w:val="24"/>
        </w:rPr>
        <w:t>f we left out one of your Rule 1:28 decisions</w:t>
      </w:r>
      <w:r w:rsidR="00A52A8D">
        <w:rPr>
          <w:szCs w:val="24"/>
        </w:rPr>
        <w:t>,</w:t>
      </w:r>
      <w:r>
        <w:rPr>
          <w:szCs w:val="24"/>
        </w:rPr>
        <w:t xml:space="preserve"> and it has a useful tidbit in it, please let us know.</w:t>
      </w:r>
    </w:p>
    <w:p w:rsidR="00AC30A0" w:rsidRDefault="00AC30A0" w:rsidP="00AC30A0">
      <w:pPr>
        <w:widowControl/>
        <w:rPr>
          <w:szCs w:val="24"/>
        </w:rPr>
      </w:pPr>
    </w:p>
    <w:p w:rsidR="00F53F56" w:rsidRDefault="00F53F56" w:rsidP="00F53F56">
      <w:r>
        <w:lastRenderedPageBreak/>
        <w:t>Remember, if</w:t>
      </w:r>
      <w:r w:rsidRPr="00846B37">
        <w:t xml:space="preserve"> you cite to a </w:t>
      </w:r>
      <w:r>
        <w:t xml:space="preserve">Rule </w:t>
      </w:r>
      <w:r w:rsidRPr="00846B37">
        <w:t>1:28 decision in your brief</w:t>
      </w:r>
      <w:r>
        <w:t xml:space="preserve"> or </w:t>
      </w:r>
      <w:r w:rsidRPr="00846B37">
        <w:t>motion, you must</w:t>
      </w:r>
      <w:r>
        <w:t>:</w:t>
      </w:r>
    </w:p>
    <w:p w:rsidR="000C45C5" w:rsidRDefault="000C45C5" w:rsidP="00F53F56"/>
    <w:p w:rsidR="00F53F56" w:rsidRDefault="00F53F56" w:rsidP="00F53F56">
      <w:pPr>
        <w:ind w:left="1080" w:hanging="360"/>
      </w:pPr>
      <w:r>
        <w:t xml:space="preserve">(a) </w:t>
      </w:r>
      <w:proofErr w:type="gramStart"/>
      <w:r w:rsidRPr="00846B37">
        <w:t>attach</w:t>
      </w:r>
      <w:proofErr w:type="gramEnd"/>
      <w:r w:rsidRPr="00846B37">
        <w:t xml:space="preserve"> a copy of the decision as an addendum</w:t>
      </w:r>
      <w:r>
        <w:t xml:space="preserve">; and </w:t>
      </w:r>
    </w:p>
    <w:p w:rsidR="00F53F56" w:rsidRDefault="00F53F56" w:rsidP="00F53F56">
      <w:pPr>
        <w:ind w:left="1080" w:hanging="360"/>
      </w:pPr>
      <w:r>
        <w:t xml:space="preserve">(b) </w:t>
      </w:r>
      <w:proofErr w:type="gramStart"/>
      <w:r>
        <w:t>cite</w:t>
      </w:r>
      <w:proofErr w:type="gramEnd"/>
      <w:r>
        <w:t xml:space="preserve"> the page of the Appeals Court reporter that lists the decision and a notation that the decision was issued pursuant to Rule 1:28</w:t>
      </w:r>
      <w:r w:rsidRPr="00846B37">
        <w:t xml:space="preserve">.  </w:t>
      </w:r>
      <w:r>
        <w:t xml:space="preserve">In your brief or motion, you do not need to cite the docket number, month or day.  </w:t>
      </w:r>
      <w:r w:rsidRPr="00D30523">
        <w:rPr>
          <w:b/>
        </w:rPr>
        <w:t xml:space="preserve">For example:  </w:t>
      </w:r>
      <w:r w:rsidRPr="00D30523">
        <w:rPr>
          <w:b/>
          <w:u w:val="single"/>
        </w:rPr>
        <w:t>Care and Protection of Priscilla</w:t>
      </w:r>
      <w:r w:rsidRPr="00D30523">
        <w:rPr>
          <w:b/>
        </w:rPr>
        <w:t>, 79 Mass. App. Ct. 1101 (2011) (Mass. App. Ct. Rule 1:28).</w:t>
      </w:r>
      <w:r>
        <w:t xml:space="preserve">  Please note that we’re using the docket numbers and dates of issuance below just to make it easier for you to find the decisions online.</w:t>
      </w:r>
    </w:p>
    <w:p w:rsidR="00F53F56" w:rsidRDefault="00F53F56" w:rsidP="00F53F56"/>
    <w:p w:rsidR="00F53F56" w:rsidRPr="0094473F" w:rsidRDefault="00A52A8D" w:rsidP="00F53F56">
      <w:r>
        <w:t xml:space="preserve">By now, you have probably noticed that the </w:t>
      </w:r>
      <w:r w:rsidR="00F53F56" w:rsidRPr="00D30523">
        <w:t>Massachusetts Courts website has changed.</w:t>
      </w:r>
      <w:r w:rsidR="00F53F56">
        <w:t xml:space="preserve">  Rule </w:t>
      </w:r>
      <w:r w:rsidR="00F53F56" w:rsidRPr="00846B37">
        <w:t>1:28</w:t>
      </w:r>
      <w:r w:rsidR="00F53F56">
        <w:t xml:space="preserve"> decisions are now </w:t>
      </w:r>
      <w:r>
        <w:t>available</w:t>
      </w:r>
      <w:r w:rsidR="00F53F56" w:rsidRPr="00846B37">
        <w:t xml:space="preserve"> at:</w:t>
      </w:r>
      <w:r w:rsidR="00F53F56" w:rsidRPr="00EE40C8">
        <w:t xml:space="preserve"> </w:t>
      </w:r>
      <w:hyperlink r:id="rId11" w:history="1">
        <w:r w:rsidR="00F53F56" w:rsidRPr="00510850">
          <w:rPr>
            <w:rStyle w:val="Hyperlink"/>
          </w:rPr>
          <w:t>https://www.lexisnexis.com/clients/macourts/</w:t>
        </w:r>
      </w:hyperlink>
      <w:r w:rsidR="00F53F56">
        <w:t>.  (Check off that you agree to the terms of usage, and click on “Begin Searching Opinions,” then select “Search by Party Name” (on the left border), then select “Appeals Court Unpublished Decisions.”</w:t>
      </w:r>
      <w:r>
        <w:t xml:space="preserve">) </w:t>
      </w:r>
      <w:r w:rsidR="00F53F56">
        <w:t xml:space="preserve"> To find child welfare Rule 1:28 decisions, type in the first “party” box “adoption or care or custody or guardianship.”  Unfortunately, the free LEXIS search engine limits you to the most recent 25 cases.</w:t>
      </w:r>
      <w:r w:rsidR="00F53F56" w:rsidRPr="00D227A3">
        <w:t xml:space="preserve"> </w:t>
      </w:r>
      <w:r w:rsidR="00F53F56">
        <w:t xml:space="preserve">To find a specific case, enter the case name.  </w:t>
      </w:r>
    </w:p>
    <w:p w:rsidR="003A441B" w:rsidRDefault="003A441B" w:rsidP="003A441B"/>
    <w:p w:rsidR="001A42E5" w:rsidRPr="00F82419" w:rsidRDefault="001A42E5" w:rsidP="001A42E5">
      <w:pPr>
        <w:widowControl/>
        <w:rPr>
          <w:snapToGrid/>
          <w:color w:val="000000"/>
          <w:szCs w:val="24"/>
        </w:rPr>
      </w:pPr>
      <w:r w:rsidRPr="00597D82">
        <w:rPr>
          <w:rFonts w:eastAsia="Arial Unicode MS" w:hAnsi="Arial Unicode MS" w:cs="Arial Unicode MS"/>
          <w:b/>
          <w:bCs/>
          <w:snapToGrid/>
          <w:color w:val="000000"/>
          <w:szCs w:val="24"/>
        </w:rPr>
        <w:t>1.</w:t>
      </w:r>
      <w:r>
        <w:rPr>
          <w:rFonts w:eastAsia="Arial Unicode MS" w:hAnsi="Arial Unicode MS" w:cs="Arial Unicode MS"/>
          <w:bCs/>
          <w:snapToGrid/>
          <w:color w:val="000000"/>
          <w:szCs w:val="24"/>
        </w:rPr>
        <w:tab/>
      </w:r>
      <w:r w:rsidRPr="001A42E5">
        <w:rPr>
          <w:rFonts w:eastAsia="Arial Unicode MS" w:hAnsi="Arial Unicode MS" w:cs="Arial Unicode MS"/>
          <w:b/>
          <w:bCs/>
          <w:snapToGrid/>
          <w:color w:val="000000"/>
          <w:szCs w:val="24"/>
          <w:u w:val="single"/>
        </w:rPr>
        <w:t>Adoption of Omari</w:t>
      </w:r>
      <w:r w:rsidRPr="001A42E5">
        <w:rPr>
          <w:rFonts w:eastAsia="Arial Unicode MS" w:hAnsi="Arial Unicode MS" w:cs="Arial Unicode MS"/>
          <w:b/>
          <w:bCs/>
          <w:snapToGrid/>
          <w:color w:val="000000"/>
          <w:szCs w:val="24"/>
        </w:rPr>
        <w:t>, 87 Mass. App. Ct. 1102, No. 14-P-965 (January 14, 2015).</w:t>
      </w:r>
    </w:p>
    <w:p w:rsidR="007433BA" w:rsidRDefault="007433BA" w:rsidP="001A42E5">
      <w:pPr>
        <w:widowControl/>
        <w:rPr>
          <w:rFonts w:eastAsia="Arial Unicode MS" w:hAnsi="Arial Unicode MS" w:cs="Arial Unicode MS"/>
          <w:snapToGrid/>
          <w:color w:val="000000"/>
          <w:szCs w:val="24"/>
        </w:rPr>
      </w:pPr>
      <w:r>
        <w:rPr>
          <w:rFonts w:eastAsia="Arial Unicode MS" w:hAnsi="Arial Unicode MS" w:cs="Arial Unicode MS"/>
          <w:snapToGrid/>
          <w:color w:val="000000"/>
          <w:szCs w:val="24"/>
        </w:rPr>
        <w:t xml:space="preserve">This case is worth noting because it </w:t>
      </w:r>
      <w:r w:rsidR="00597D82">
        <w:rPr>
          <w:rFonts w:eastAsia="Arial Unicode MS" w:hAnsi="Arial Unicode MS" w:cs="Arial Unicode MS"/>
          <w:snapToGrid/>
          <w:color w:val="000000"/>
          <w:szCs w:val="24"/>
        </w:rPr>
        <w:t>explains what</w:t>
      </w:r>
      <w:r>
        <w:rPr>
          <w:rFonts w:eastAsia="Arial Unicode MS" w:hAnsi="Arial Unicode MS" w:cs="Arial Unicode MS"/>
          <w:snapToGrid/>
          <w:color w:val="000000"/>
          <w:szCs w:val="24"/>
        </w:rPr>
        <w:t xml:space="preserve"> proper find</w:t>
      </w:r>
      <w:r w:rsidR="003D0435">
        <w:rPr>
          <w:rFonts w:eastAsia="Arial Unicode MS" w:hAnsi="Arial Unicode MS" w:cs="Arial Unicode MS"/>
          <w:snapToGrid/>
          <w:color w:val="000000"/>
          <w:szCs w:val="24"/>
        </w:rPr>
        <w:t>ings of fact should look like:</w:t>
      </w:r>
      <w:r>
        <w:rPr>
          <w:rFonts w:eastAsia="Arial Unicode MS" w:hAnsi="Arial Unicode MS" w:cs="Arial Unicode MS"/>
          <w:snapToGrid/>
          <w:color w:val="000000"/>
          <w:szCs w:val="24"/>
        </w:rPr>
        <w:t xml:space="preserve"> </w:t>
      </w:r>
      <w:r w:rsidR="001A42E5" w:rsidRPr="001A42E5">
        <w:rPr>
          <w:rFonts w:eastAsia="Arial Unicode MS" w:hAnsi="Arial Unicode MS" w:cs="Arial Unicode MS"/>
          <w:snapToGrid/>
          <w:color w:val="000000"/>
          <w:szCs w:val="24"/>
        </w:rPr>
        <w:t xml:space="preserve"> </w:t>
      </w:r>
    </w:p>
    <w:p w:rsidR="003D0435" w:rsidRDefault="003D0435" w:rsidP="003D0435">
      <w:pPr>
        <w:widowControl/>
        <w:contextualSpacing/>
        <w:rPr>
          <w:rFonts w:eastAsia="Arial Unicode MS" w:hAnsi="Arial Unicode MS" w:cs="Arial Unicode MS"/>
          <w:snapToGrid/>
          <w:color w:val="000000"/>
          <w:szCs w:val="24"/>
        </w:rPr>
      </w:pPr>
    </w:p>
    <w:p w:rsidR="007433BA" w:rsidRPr="003D0435" w:rsidRDefault="007433BA" w:rsidP="002743A3">
      <w:pPr>
        <w:pStyle w:val="NoSpacing"/>
        <w:ind w:left="720" w:right="720"/>
        <w:rPr>
          <w:rFonts w:eastAsia="Arial Unicode MS"/>
          <w:snapToGrid/>
          <w:color w:val="1F497D" w:themeColor="text2"/>
        </w:rPr>
      </w:pPr>
      <w:r w:rsidRPr="003D0435">
        <w:rPr>
          <w:rFonts w:eastAsia="Arial Unicode MS"/>
          <w:snapToGrid/>
          <w:color w:val="1F497D" w:themeColor="text2"/>
        </w:rPr>
        <w:t>We not</w:t>
      </w:r>
      <w:r w:rsidR="004B2E01">
        <w:rPr>
          <w:rFonts w:eastAsia="Arial Unicode MS"/>
          <w:snapToGrid/>
          <w:color w:val="1F497D" w:themeColor="text2"/>
        </w:rPr>
        <w:t>e</w:t>
      </w:r>
      <w:r w:rsidRPr="003D0435">
        <w:rPr>
          <w:rFonts w:eastAsia="Arial Unicode MS"/>
          <w:snapToGrid/>
          <w:color w:val="1F497D" w:themeColor="text2"/>
        </w:rPr>
        <w:t xml:space="preserve"> that a finding of fact ‘is the judge’s declaration that it is a fact….Findings of fact are drawn from, and consistent with, </w:t>
      </w:r>
      <w:r w:rsidR="003D0435" w:rsidRPr="003D0435">
        <w:rPr>
          <w:rFonts w:eastAsia="Arial Unicode MS"/>
          <w:snapToGrid/>
          <w:color w:val="1F497D" w:themeColor="text2"/>
        </w:rPr>
        <w:t>the evidence and are not merely a recitation of the evidence….Findings of fact are factual deductions from the evidence, essential to the judgment in the case.  Such findings should be stated clearly, concisely and unequivocally, and be worded so that they are not susceptible of more than one interpretation.</w:t>
      </w:r>
      <w:r w:rsidR="003D0435">
        <w:rPr>
          <w:rFonts w:eastAsia="Arial Unicode MS"/>
          <w:snapToGrid/>
          <w:color w:val="1F497D" w:themeColor="text2"/>
        </w:rPr>
        <w:t>’</w:t>
      </w:r>
    </w:p>
    <w:p w:rsidR="007433BA" w:rsidRDefault="007433BA" w:rsidP="001A42E5">
      <w:pPr>
        <w:widowControl/>
        <w:rPr>
          <w:rFonts w:eastAsia="Arial Unicode MS" w:hAnsi="Arial Unicode MS" w:cs="Arial Unicode MS"/>
          <w:snapToGrid/>
          <w:color w:val="000000"/>
          <w:szCs w:val="24"/>
        </w:rPr>
      </w:pPr>
    </w:p>
    <w:p w:rsidR="001A42E5" w:rsidRPr="007433BA" w:rsidRDefault="00A33333" w:rsidP="003D0435">
      <w:pPr>
        <w:pStyle w:val="NoSpacing"/>
        <w:rPr>
          <w:rFonts w:eastAsia="Arial Unicode MS"/>
          <w:snapToGrid/>
        </w:rPr>
      </w:pPr>
      <w:r w:rsidRPr="00A33333">
        <w:rPr>
          <w:rFonts w:eastAsia="Arial Unicode MS" w:hAnsi="Arial Unicode MS" w:cs="Arial Unicode MS"/>
          <w:snapToGrid/>
          <w:color w:val="000000"/>
          <w:szCs w:val="24"/>
          <w:u w:val="single"/>
        </w:rPr>
        <w:t>Omari</w:t>
      </w:r>
      <w:r>
        <w:rPr>
          <w:rFonts w:eastAsia="Arial Unicode MS" w:hAnsi="Arial Unicode MS" w:cs="Arial Unicode MS"/>
          <w:snapToGrid/>
          <w:color w:val="000000"/>
          <w:szCs w:val="24"/>
        </w:rPr>
        <w:t xml:space="preserve"> at *4 (citing </w:t>
      </w:r>
      <w:r w:rsidRPr="00A33333">
        <w:rPr>
          <w:rFonts w:eastAsia="Arial Unicode MS" w:hAnsi="Arial Unicode MS" w:cs="Arial Unicode MS"/>
          <w:snapToGrid/>
          <w:color w:val="000000"/>
          <w:szCs w:val="24"/>
          <w:u w:val="single"/>
        </w:rPr>
        <w:t>Care a</w:t>
      </w:r>
      <w:r>
        <w:rPr>
          <w:rFonts w:eastAsia="Arial Unicode MS" w:hAnsi="Arial Unicode MS" w:cs="Arial Unicode MS"/>
          <w:snapToGrid/>
          <w:color w:val="000000"/>
          <w:szCs w:val="24"/>
          <w:u w:val="single"/>
        </w:rPr>
        <w:t>nd</w:t>
      </w:r>
      <w:r w:rsidRPr="001A42E5">
        <w:rPr>
          <w:rFonts w:eastAsia="Arial Unicode MS" w:hAnsi="Arial Unicode MS" w:cs="Arial Unicode MS"/>
          <w:snapToGrid/>
          <w:color w:val="000000"/>
          <w:szCs w:val="24"/>
          <w:u w:val="single"/>
        </w:rPr>
        <w:t xml:space="preserve"> Protection of </w:t>
      </w:r>
      <w:proofErr w:type="spellStart"/>
      <w:r w:rsidRPr="001A42E5">
        <w:rPr>
          <w:rFonts w:eastAsia="Arial Unicode MS" w:hAnsi="Arial Unicode MS" w:cs="Arial Unicode MS"/>
          <w:snapToGrid/>
          <w:color w:val="000000"/>
          <w:szCs w:val="24"/>
          <w:u w:val="single"/>
        </w:rPr>
        <w:t>Yetta</w:t>
      </w:r>
      <w:proofErr w:type="spellEnd"/>
      <w:r>
        <w:rPr>
          <w:rFonts w:eastAsia="Arial Unicode MS" w:hAnsi="Arial Unicode MS" w:cs="Arial Unicode MS"/>
          <w:snapToGrid/>
          <w:color w:val="000000"/>
          <w:szCs w:val="24"/>
        </w:rPr>
        <w:t xml:space="preserve">, 84 Mass. App. Ct. 691, 694 n.7 (2014), </w:t>
      </w:r>
      <w:r w:rsidRPr="003D0435">
        <w:rPr>
          <w:rFonts w:eastAsia="Arial Unicode MS" w:hAnsi="Arial Unicode MS" w:cs="Arial Unicode MS"/>
          <w:i/>
          <w:snapToGrid/>
          <w:color w:val="000000"/>
          <w:szCs w:val="24"/>
        </w:rPr>
        <w:t>quoting</w:t>
      </w:r>
      <w:r w:rsidRPr="001A42E5">
        <w:rPr>
          <w:rFonts w:eastAsia="Arial Unicode MS" w:hAnsi="Arial Unicode MS" w:cs="Arial Unicode MS"/>
          <w:snapToGrid/>
          <w:color w:val="000000"/>
          <w:szCs w:val="24"/>
        </w:rPr>
        <w:t xml:space="preserve"> </w:t>
      </w:r>
      <w:r w:rsidRPr="001A42E5">
        <w:rPr>
          <w:rFonts w:eastAsia="Arial Unicode MS" w:hAnsi="Arial Unicode MS" w:cs="Arial Unicode MS"/>
          <w:snapToGrid/>
          <w:color w:val="000000"/>
          <w:szCs w:val="24"/>
          <w:u w:val="single"/>
        </w:rPr>
        <w:t>Commonwealth v. Isaiah I.</w:t>
      </w:r>
      <w:r w:rsidRPr="001A42E5">
        <w:rPr>
          <w:rFonts w:eastAsia="Arial Unicode MS" w:hAnsi="Arial Unicode MS" w:cs="Arial Unicode MS"/>
          <w:snapToGrid/>
          <w:color w:val="000000"/>
          <w:szCs w:val="24"/>
        </w:rPr>
        <w:t>,</w:t>
      </w:r>
      <w:r>
        <w:rPr>
          <w:rFonts w:eastAsia="Arial Unicode MS" w:hAnsi="Arial Unicode MS" w:cs="Arial Unicode MS"/>
          <w:snapToGrid/>
          <w:color w:val="000000"/>
          <w:szCs w:val="24"/>
        </w:rPr>
        <w:t xml:space="preserve"> 448 Mass. 334, 339 (2007)).  </w:t>
      </w:r>
      <w:r w:rsidR="003D0435">
        <w:rPr>
          <w:rFonts w:eastAsia="Arial Unicode MS"/>
          <w:snapToGrid/>
        </w:rPr>
        <w:t>The panel noted that</w:t>
      </w:r>
      <w:r w:rsidR="00597D82">
        <w:rPr>
          <w:rFonts w:eastAsia="Arial Unicode MS"/>
          <w:snapToGrid/>
        </w:rPr>
        <w:t>,</w:t>
      </w:r>
      <w:r w:rsidR="003D0435">
        <w:rPr>
          <w:rFonts w:eastAsia="Arial Unicode MS"/>
          <w:snapToGrid/>
        </w:rPr>
        <w:t xml:space="preserve"> although the trial judge enumerated 341 paragraphs in his “findings of fact</w:t>
      </w:r>
      <w:r w:rsidR="00597D82">
        <w:rPr>
          <w:rFonts w:eastAsia="Arial Unicode MS"/>
          <w:snapToGrid/>
        </w:rPr>
        <w:t>,</w:t>
      </w:r>
      <w:r w:rsidR="003D0435">
        <w:rPr>
          <w:rFonts w:eastAsia="Arial Unicode MS"/>
          <w:snapToGrid/>
        </w:rPr>
        <w:t xml:space="preserve">” many of those paragraphs were “merely recitations of the testimony” and did not </w:t>
      </w:r>
      <w:r w:rsidR="004B2E01">
        <w:rPr>
          <w:rFonts w:eastAsia="Arial Unicode MS"/>
          <w:snapToGrid/>
        </w:rPr>
        <w:t>resolve inconsistencies in the evidence</w:t>
      </w:r>
      <w:r w:rsidR="00597D82">
        <w:rPr>
          <w:rFonts w:eastAsia="Arial Unicode MS"/>
          <w:snapToGrid/>
        </w:rPr>
        <w:t>, weigh the evidence, or resolve credibility issues</w:t>
      </w:r>
      <w:r w:rsidR="004B2E01">
        <w:rPr>
          <w:rFonts w:eastAsia="Arial Unicode MS"/>
          <w:snapToGrid/>
        </w:rPr>
        <w:t xml:space="preserve">.  Nevertheless, the panel found that the judge’s proper findings and conclusions of law were sufficient to establish the parents’ unfitness clearly and convincingly. </w:t>
      </w:r>
    </w:p>
    <w:p w:rsidR="001A42E5" w:rsidRPr="001A42E5" w:rsidRDefault="001A42E5" w:rsidP="001A42E5">
      <w:pPr>
        <w:widowControl/>
        <w:rPr>
          <w:snapToGrid/>
          <w:color w:val="000000"/>
          <w:szCs w:val="24"/>
        </w:rPr>
      </w:pPr>
    </w:p>
    <w:p w:rsidR="001A42E5" w:rsidRPr="001A42E5" w:rsidRDefault="004B2E01" w:rsidP="00597D82">
      <w:pPr>
        <w:widowControl/>
        <w:rPr>
          <w:b/>
          <w:bCs/>
          <w:snapToGrid/>
          <w:color w:val="000000"/>
          <w:szCs w:val="24"/>
        </w:rPr>
      </w:pPr>
      <w:r w:rsidRPr="00597D82">
        <w:rPr>
          <w:rFonts w:eastAsia="Arial Unicode MS" w:hAnsi="Arial Unicode MS" w:cs="Arial Unicode MS"/>
          <w:b/>
          <w:bCs/>
          <w:snapToGrid/>
          <w:color w:val="000000"/>
          <w:szCs w:val="24"/>
        </w:rPr>
        <w:t>2.</w:t>
      </w:r>
      <w:r>
        <w:rPr>
          <w:rFonts w:eastAsia="Arial Unicode MS" w:hAnsi="Arial Unicode MS" w:cs="Arial Unicode MS"/>
          <w:bCs/>
          <w:snapToGrid/>
          <w:color w:val="000000"/>
          <w:szCs w:val="24"/>
        </w:rPr>
        <w:tab/>
      </w:r>
      <w:r w:rsidR="00C66A34">
        <w:rPr>
          <w:rFonts w:eastAsia="Arial Unicode MS" w:hAnsi="Arial Unicode MS" w:cs="Arial Unicode MS"/>
          <w:bCs/>
          <w:snapToGrid/>
          <w:color w:val="000000"/>
          <w:szCs w:val="24"/>
        </w:rPr>
        <w:t xml:space="preserve"> </w:t>
      </w:r>
      <w:r w:rsidR="001A42E5" w:rsidRPr="001A42E5">
        <w:rPr>
          <w:rFonts w:eastAsia="Arial Unicode MS" w:hAnsi="Arial Unicode MS" w:cs="Arial Unicode MS"/>
          <w:snapToGrid/>
          <w:color w:val="000000"/>
          <w:szCs w:val="24"/>
        </w:rPr>
        <w:t xml:space="preserve"> </w:t>
      </w:r>
      <w:r w:rsidR="001A42E5" w:rsidRPr="001A42E5">
        <w:rPr>
          <w:rFonts w:eastAsia="Arial Unicode MS" w:hAnsi="Arial Unicode MS" w:cs="Arial Unicode MS"/>
          <w:b/>
          <w:bCs/>
          <w:snapToGrid/>
          <w:color w:val="000000"/>
          <w:szCs w:val="24"/>
          <w:u w:val="single"/>
        </w:rPr>
        <w:t>Adoption of Ilene</w:t>
      </w:r>
      <w:r w:rsidR="001A42E5" w:rsidRPr="001A42E5">
        <w:rPr>
          <w:rFonts w:eastAsia="Arial Unicode MS" w:hAnsi="Arial Unicode MS" w:cs="Arial Unicode MS"/>
          <w:b/>
          <w:bCs/>
          <w:snapToGrid/>
          <w:color w:val="000000"/>
          <w:szCs w:val="24"/>
        </w:rPr>
        <w:t>, 87 Mass. App. Ct. 1106, No. 14-P-1134 (February 20, 2015).</w:t>
      </w:r>
    </w:p>
    <w:p w:rsidR="001A42E5" w:rsidRDefault="001A42E5" w:rsidP="00E33EEF">
      <w:pPr>
        <w:pStyle w:val="NoSpacing"/>
        <w:rPr>
          <w:rFonts w:eastAsia="Arial Unicode MS"/>
          <w:snapToGrid/>
        </w:rPr>
      </w:pPr>
      <w:r w:rsidRPr="001A42E5">
        <w:rPr>
          <w:rFonts w:eastAsia="Arial Unicode MS"/>
          <w:snapToGrid/>
        </w:rPr>
        <w:t xml:space="preserve">In this case, </w:t>
      </w:r>
      <w:r w:rsidR="00597D82">
        <w:rPr>
          <w:rFonts w:eastAsia="Arial Unicode MS"/>
          <w:snapToGrid/>
        </w:rPr>
        <w:t xml:space="preserve">the trial court found </w:t>
      </w:r>
      <w:r w:rsidRPr="001A42E5">
        <w:rPr>
          <w:rFonts w:eastAsia="Arial Unicode MS"/>
          <w:snapToGrid/>
        </w:rPr>
        <w:t>both parents unfit and</w:t>
      </w:r>
      <w:r w:rsidR="00597D82">
        <w:rPr>
          <w:rFonts w:eastAsia="Arial Unicode MS"/>
          <w:snapToGrid/>
        </w:rPr>
        <w:t xml:space="preserve"> terminated</w:t>
      </w:r>
      <w:r w:rsidRPr="001A42E5">
        <w:rPr>
          <w:rFonts w:eastAsia="Arial Unicode MS"/>
          <w:snapToGrid/>
        </w:rPr>
        <w:t xml:space="preserve"> their parental rights. </w:t>
      </w:r>
      <w:r w:rsidR="005E208A">
        <w:rPr>
          <w:rFonts w:eastAsia="Arial Unicode MS"/>
          <w:snapToGrid/>
        </w:rPr>
        <w:t xml:space="preserve"> </w:t>
      </w:r>
      <w:r w:rsidRPr="001A42E5">
        <w:rPr>
          <w:rFonts w:eastAsia="Arial Unicode MS"/>
          <w:snapToGrid/>
        </w:rPr>
        <w:t xml:space="preserve">However, the trial judge made findings based on information that she </w:t>
      </w:r>
      <w:r w:rsidR="005E208A">
        <w:rPr>
          <w:rFonts w:eastAsia="Arial Unicode MS"/>
          <w:snapToGrid/>
        </w:rPr>
        <w:t xml:space="preserve">had </w:t>
      </w:r>
      <w:r w:rsidRPr="001A42E5">
        <w:rPr>
          <w:rFonts w:eastAsia="Arial Unicode MS"/>
          <w:snapToGrid/>
        </w:rPr>
        <w:t xml:space="preserve">previously struck from the record. </w:t>
      </w:r>
      <w:r w:rsidR="005E208A">
        <w:rPr>
          <w:rFonts w:eastAsia="Arial Unicode MS"/>
          <w:snapToGrid/>
        </w:rPr>
        <w:t xml:space="preserve"> The Appeals Court remanded that case.  On remand, the j</w:t>
      </w:r>
      <w:r w:rsidRPr="001A42E5">
        <w:rPr>
          <w:rFonts w:eastAsia="Arial Unicode MS"/>
          <w:snapToGrid/>
        </w:rPr>
        <w:t>udge entered a new order</w:t>
      </w:r>
      <w:r w:rsidR="00E33EEF">
        <w:rPr>
          <w:rFonts w:eastAsia="Arial Unicode MS"/>
          <w:snapToGrid/>
        </w:rPr>
        <w:t xml:space="preserve"> simply stating that the “evidence which was stricken at trial shall be removed from the Court’s </w:t>
      </w:r>
      <w:proofErr w:type="gramStart"/>
      <w:r w:rsidR="00E33EEF">
        <w:rPr>
          <w:rFonts w:eastAsia="Arial Unicode MS"/>
          <w:snapToGrid/>
        </w:rPr>
        <w:t>Findings of Fact and Conclusions of Law and Orders.”</w:t>
      </w:r>
      <w:proofErr w:type="gramEnd"/>
      <w:r w:rsidR="00E33EEF">
        <w:rPr>
          <w:rFonts w:eastAsia="Arial Unicode MS"/>
          <w:snapToGrid/>
        </w:rPr>
        <w:t xml:space="preserve">  On appeal, all </w:t>
      </w:r>
      <w:r w:rsidRPr="001A42E5">
        <w:rPr>
          <w:rFonts w:eastAsia="Arial Unicode MS"/>
          <w:snapToGrid/>
        </w:rPr>
        <w:t>parties agreed that this order did not remedy the errors</w:t>
      </w:r>
      <w:r w:rsidR="005E208A">
        <w:rPr>
          <w:rFonts w:eastAsia="Arial Unicode MS"/>
          <w:snapToGrid/>
        </w:rPr>
        <w:t xml:space="preserve">; </w:t>
      </w:r>
      <w:r w:rsidR="00E33EEF">
        <w:rPr>
          <w:rFonts w:eastAsia="Arial Unicode MS"/>
          <w:snapToGrid/>
        </w:rPr>
        <w:t xml:space="preserve">portions of </w:t>
      </w:r>
      <w:r w:rsidRPr="001A42E5">
        <w:rPr>
          <w:rFonts w:eastAsia="Arial Unicode MS"/>
          <w:snapToGrid/>
        </w:rPr>
        <w:t>the amended findings still relied on the stricken evidence</w:t>
      </w:r>
      <w:r w:rsidR="005E208A">
        <w:rPr>
          <w:rFonts w:eastAsia="Arial Unicode MS"/>
          <w:snapToGrid/>
        </w:rPr>
        <w:t>, and the supported findings did not prove unfitness by clear and convincing evidence</w:t>
      </w:r>
      <w:r w:rsidRPr="001A42E5">
        <w:rPr>
          <w:rFonts w:eastAsia="Arial Unicode MS"/>
          <w:snapToGrid/>
        </w:rPr>
        <w:t xml:space="preserve">. The Appeals Court vacated the decision and remanded for a new trial on the merits. </w:t>
      </w:r>
    </w:p>
    <w:p w:rsidR="00814E84" w:rsidRDefault="00814E84" w:rsidP="00814E84">
      <w:pPr>
        <w:pStyle w:val="NoSpacing"/>
        <w:rPr>
          <w:rFonts w:eastAsia="Arial Unicode MS"/>
          <w:snapToGrid/>
        </w:rPr>
      </w:pPr>
    </w:p>
    <w:p w:rsidR="005E208A" w:rsidRPr="001A42E5" w:rsidRDefault="005E208A" w:rsidP="00814E84">
      <w:pPr>
        <w:pStyle w:val="NoSpacing"/>
        <w:rPr>
          <w:snapToGrid/>
        </w:rPr>
      </w:pPr>
      <w:proofErr w:type="gramStart"/>
      <w:r>
        <w:rPr>
          <w:rFonts w:eastAsia="Arial Unicode MS"/>
          <w:snapToGrid/>
        </w:rPr>
        <w:lastRenderedPageBreak/>
        <w:t>The takeaway?</w:t>
      </w:r>
      <w:proofErr w:type="gramEnd"/>
      <w:r>
        <w:rPr>
          <w:rFonts w:eastAsia="Arial Unicode MS"/>
          <w:snapToGrid/>
        </w:rPr>
        <w:t xml:space="preserve">  You may never see a case of lazy trial judging quite like this, but </w:t>
      </w:r>
      <w:r w:rsidRPr="005E208A">
        <w:rPr>
          <w:rFonts w:eastAsia="Arial Unicode MS"/>
          <w:snapToGrid/>
          <w:u w:val="single"/>
        </w:rPr>
        <w:t>Ilene</w:t>
      </w:r>
      <w:r>
        <w:rPr>
          <w:rFonts w:eastAsia="Arial Unicode MS"/>
          <w:snapToGrid/>
        </w:rPr>
        <w:t xml:space="preserve"> shows clearly that a remand for flawed findings requires that the trial judge do more than simply reissue the findings with the “offending” material struck out.</w:t>
      </w:r>
    </w:p>
    <w:p w:rsidR="001A42E5" w:rsidRPr="001A42E5" w:rsidRDefault="001A42E5" w:rsidP="001A42E5">
      <w:pPr>
        <w:widowControl/>
        <w:rPr>
          <w:b/>
          <w:bCs/>
          <w:snapToGrid/>
          <w:color w:val="000000"/>
          <w:szCs w:val="24"/>
        </w:rPr>
      </w:pPr>
    </w:p>
    <w:p w:rsidR="001A42E5" w:rsidRDefault="00597D82" w:rsidP="001A42E5">
      <w:pPr>
        <w:widowControl/>
        <w:rPr>
          <w:b/>
          <w:bCs/>
          <w:snapToGrid/>
          <w:color w:val="000000"/>
          <w:szCs w:val="24"/>
        </w:rPr>
      </w:pPr>
      <w:r w:rsidRPr="00597D82">
        <w:rPr>
          <w:b/>
          <w:snapToGrid/>
          <w:color w:val="000000"/>
          <w:szCs w:val="24"/>
        </w:rPr>
        <w:t>3</w:t>
      </w:r>
      <w:r w:rsidR="00B306AE" w:rsidRPr="00597D82">
        <w:rPr>
          <w:b/>
          <w:snapToGrid/>
          <w:color w:val="000000"/>
          <w:szCs w:val="24"/>
        </w:rPr>
        <w:t>.</w:t>
      </w:r>
      <w:r w:rsidR="00B306AE">
        <w:rPr>
          <w:snapToGrid/>
          <w:color w:val="000000"/>
          <w:szCs w:val="24"/>
        </w:rPr>
        <w:tab/>
      </w:r>
      <w:r w:rsidR="00B306AE">
        <w:rPr>
          <w:b/>
          <w:snapToGrid/>
          <w:color w:val="000000"/>
          <w:szCs w:val="24"/>
          <w:u w:val="single"/>
        </w:rPr>
        <w:t>Adoption of Ted</w:t>
      </w:r>
      <w:r w:rsidR="00B306AE">
        <w:rPr>
          <w:snapToGrid/>
          <w:color w:val="000000"/>
          <w:szCs w:val="24"/>
        </w:rPr>
        <w:t xml:space="preserve">, </w:t>
      </w:r>
      <w:r w:rsidR="00B306AE">
        <w:rPr>
          <w:b/>
          <w:bCs/>
          <w:snapToGrid/>
          <w:color w:val="000000"/>
          <w:szCs w:val="24"/>
        </w:rPr>
        <w:t>87 Mass. App. Ct. 1108, No. 14-P-746 (March 9, 2015).</w:t>
      </w:r>
    </w:p>
    <w:p w:rsidR="00B306AE" w:rsidRDefault="00D45CB7" w:rsidP="001A42E5">
      <w:pPr>
        <w:widowControl/>
        <w:rPr>
          <w:bCs/>
          <w:snapToGrid/>
          <w:color w:val="000000"/>
          <w:szCs w:val="24"/>
        </w:rPr>
      </w:pPr>
      <w:r>
        <w:rPr>
          <w:bCs/>
          <w:snapToGrid/>
          <w:color w:val="000000"/>
          <w:szCs w:val="24"/>
        </w:rPr>
        <w:t xml:space="preserve">In </w:t>
      </w:r>
      <w:r>
        <w:rPr>
          <w:bCs/>
          <w:snapToGrid/>
          <w:color w:val="000000"/>
          <w:szCs w:val="24"/>
          <w:u w:val="single"/>
        </w:rPr>
        <w:t>Ted</w:t>
      </w:r>
      <w:r>
        <w:rPr>
          <w:bCs/>
          <w:snapToGrid/>
          <w:color w:val="000000"/>
          <w:szCs w:val="24"/>
        </w:rPr>
        <w:t>, the mother claimed that her trial attorney was ineffective and that his substandard performance was rooted in a</w:t>
      </w:r>
      <w:r w:rsidR="005779EB">
        <w:rPr>
          <w:bCs/>
          <w:snapToGrid/>
          <w:color w:val="000000"/>
          <w:szCs w:val="24"/>
        </w:rPr>
        <w:t>n employment-related</w:t>
      </w:r>
      <w:r>
        <w:rPr>
          <w:bCs/>
          <w:snapToGrid/>
          <w:color w:val="000000"/>
          <w:szCs w:val="24"/>
        </w:rPr>
        <w:t xml:space="preserve"> c</w:t>
      </w:r>
      <w:r w:rsidR="004E779B">
        <w:rPr>
          <w:bCs/>
          <w:snapToGrid/>
          <w:color w:val="000000"/>
          <w:szCs w:val="24"/>
        </w:rPr>
        <w:t>onflict of interest</w:t>
      </w:r>
      <w:r>
        <w:rPr>
          <w:bCs/>
          <w:snapToGrid/>
          <w:color w:val="000000"/>
          <w:szCs w:val="24"/>
        </w:rPr>
        <w:t xml:space="preserve">.  Unbeknownst to the mother, her trial attorney had applied to DCF and was interviewed for a position during the pendency of the case.  The panel </w:t>
      </w:r>
      <w:r w:rsidR="005779EB">
        <w:rPr>
          <w:bCs/>
          <w:snapToGrid/>
          <w:color w:val="000000"/>
          <w:szCs w:val="24"/>
        </w:rPr>
        <w:t xml:space="preserve">held that this was only a potential, not actual, conflict of interest, and that the mother therefore had to show prejudice.  The panel </w:t>
      </w:r>
      <w:r>
        <w:rPr>
          <w:bCs/>
          <w:snapToGrid/>
          <w:color w:val="000000"/>
          <w:szCs w:val="24"/>
        </w:rPr>
        <w:t>determined that the mother suffered no prejudice</w:t>
      </w:r>
      <w:r w:rsidR="005779EB">
        <w:rPr>
          <w:bCs/>
          <w:snapToGrid/>
          <w:color w:val="000000"/>
          <w:szCs w:val="24"/>
        </w:rPr>
        <w:t>, but it explained</w:t>
      </w:r>
      <w:r>
        <w:rPr>
          <w:bCs/>
          <w:snapToGrid/>
          <w:color w:val="000000"/>
          <w:szCs w:val="24"/>
        </w:rPr>
        <w:t xml:space="preserve"> that any doubts by counsel whether to disclose “should have been resolved in favor of disclosure.”  </w:t>
      </w:r>
    </w:p>
    <w:p w:rsidR="00D45CB7" w:rsidRDefault="00D45CB7" w:rsidP="001A42E5">
      <w:pPr>
        <w:widowControl/>
        <w:rPr>
          <w:bCs/>
          <w:snapToGrid/>
          <w:color w:val="000000"/>
          <w:szCs w:val="24"/>
        </w:rPr>
      </w:pPr>
    </w:p>
    <w:p w:rsidR="00D45CB7" w:rsidRDefault="00D45CB7" w:rsidP="001A42E5">
      <w:pPr>
        <w:widowControl/>
        <w:rPr>
          <w:bCs/>
          <w:snapToGrid/>
          <w:color w:val="000000"/>
          <w:szCs w:val="24"/>
        </w:rPr>
      </w:pPr>
      <w:r>
        <w:rPr>
          <w:bCs/>
          <w:snapToGrid/>
          <w:color w:val="000000"/>
          <w:szCs w:val="24"/>
        </w:rPr>
        <w:t>Additionally, Ted argued that the trial judge erred by failing to address the issue of whether Ted’s stepfather was his “de facto father” for the purposes of ordering post-termination visitation.  The panel agreed</w:t>
      </w:r>
      <w:r w:rsidR="005779EB">
        <w:rPr>
          <w:bCs/>
          <w:snapToGrid/>
          <w:color w:val="000000"/>
          <w:szCs w:val="24"/>
        </w:rPr>
        <w:t>,</w:t>
      </w:r>
      <w:r>
        <w:rPr>
          <w:bCs/>
          <w:snapToGrid/>
          <w:color w:val="000000"/>
          <w:szCs w:val="24"/>
        </w:rPr>
        <w:t xml:space="preserve"> </w:t>
      </w:r>
      <w:r w:rsidR="004E779B">
        <w:rPr>
          <w:bCs/>
          <w:snapToGrid/>
          <w:color w:val="000000"/>
          <w:szCs w:val="24"/>
        </w:rPr>
        <w:t>noting that there was evidence that Ted’s stepfather played a significant role in Ted’s life</w:t>
      </w:r>
      <w:r w:rsidR="005779EB">
        <w:rPr>
          <w:bCs/>
          <w:snapToGrid/>
          <w:color w:val="000000"/>
          <w:szCs w:val="24"/>
        </w:rPr>
        <w:t xml:space="preserve">; indeed, </w:t>
      </w:r>
      <w:r w:rsidR="004E779B">
        <w:rPr>
          <w:bCs/>
          <w:snapToGrid/>
          <w:color w:val="000000"/>
          <w:szCs w:val="24"/>
        </w:rPr>
        <w:t>t</w:t>
      </w:r>
      <w:r w:rsidR="005779EB">
        <w:rPr>
          <w:bCs/>
          <w:snapToGrid/>
          <w:color w:val="000000"/>
          <w:szCs w:val="24"/>
        </w:rPr>
        <w:t xml:space="preserve">he stepfather was Ted’s primary </w:t>
      </w:r>
      <w:r w:rsidR="004E779B">
        <w:rPr>
          <w:bCs/>
          <w:snapToGrid/>
          <w:color w:val="000000"/>
          <w:szCs w:val="24"/>
        </w:rPr>
        <w:t>caretaker before Ted was removed from the home.  The panel remanded the matter because, given the evidence, the judge should have determined whether the stepfather served as Ted’s de facto father, and, if so, whether post-termination visitation was appropriate.</w:t>
      </w:r>
    </w:p>
    <w:p w:rsidR="005779EB" w:rsidRDefault="005779EB" w:rsidP="001A42E5">
      <w:pPr>
        <w:widowControl/>
        <w:rPr>
          <w:bCs/>
          <w:snapToGrid/>
          <w:color w:val="000000"/>
          <w:szCs w:val="24"/>
        </w:rPr>
      </w:pPr>
    </w:p>
    <w:p w:rsidR="005779EB" w:rsidRPr="00D45CB7" w:rsidRDefault="005779EB" w:rsidP="001A42E5">
      <w:pPr>
        <w:widowControl/>
        <w:rPr>
          <w:snapToGrid/>
          <w:color w:val="000000"/>
          <w:szCs w:val="24"/>
        </w:rPr>
      </w:pPr>
      <w:r w:rsidRPr="005779EB">
        <w:rPr>
          <w:bCs/>
          <w:snapToGrid/>
          <w:color w:val="000000"/>
          <w:szCs w:val="24"/>
          <w:u w:val="single"/>
        </w:rPr>
        <w:t>Ted</w:t>
      </w:r>
      <w:r>
        <w:rPr>
          <w:bCs/>
          <w:snapToGrid/>
          <w:color w:val="000000"/>
          <w:szCs w:val="24"/>
        </w:rPr>
        <w:t xml:space="preserve"> is therefore a great case for to cite when arguing for post-termination or post-adoption visitation with someone who is, or might be, a de facto parent.</w:t>
      </w:r>
    </w:p>
    <w:p w:rsidR="001A42E5" w:rsidRDefault="001A42E5" w:rsidP="001A42E5">
      <w:pPr>
        <w:widowControl/>
        <w:rPr>
          <w:snapToGrid/>
          <w:color w:val="000000"/>
          <w:szCs w:val="24"/>
        </w:rPr>
      </w:pPr>
      <w:r w:rsidRPr="001A42E5">
        <w:rPr>
          <w:rFonts w:eastAsia="Arial Unicode MS" w:hAnsi="Arial Unicode MS" w:cs="Arial Unicode MS"/>
          <w:snapToGrid/>
          <w:color w:val="000000"/>
          <w:szCs w:val="24"/>
        </w:rPr>
        <w:t xml:space="preserve"> </w:t>
      </w:r>
    </w:p>
    <w:p w:rsidR="001A42E5" w:rsidRPr="00736C61" w:rsidRDefault="00597D82" w:rsidP="001A42E5">
      <w:pPr>
        <w:widowControl/>
        <w:rPr>
          <w:snapToGrid/>
          <w:color w:val="000000"/>
          <w:szCs w:val="24"/>
        </w:rPr>
      </w:pPr>
      <w:r w:rsidRPr="00597D82">
        <w:rPr>
          <w:b/>
          <w:snapToGrid/>
          <w:color w:val="000000"/>
          <w:szCs w:val="24"/>
        </w:rPr>
        <w:t>4</w:t>
      </w:r>
      <w:r w:rsidR="004E779B" w:rsidRPr="00597D82">
        <w:rPr>
          <w:b/>
          <w:snapToGrid/>
          <w:color w:val="000000"/>
          <w:szCs w:val="24"/>
        </w:rPr>
        <w:t>.</w:t>
      </w:r>
      <w:r w:rsidR="00736C61">
        <w:rPr>
          <w:snapToGrid/>
          <w:color w:val="000000"/>
          <w:szCs w:val="24"/>
        </w:rPr>
        <w:tab/>
      </w:r>
      <w:r w:rsidR="001A42E5" w:rsidRPr="00736C61">
        <w:rPr>
          <w:rFonts w:eastAsia="Arial Unicode MS"/>
          <w:b/>
          <w:bCs/>
          <w:snapToGrid/>
          <w:color w:val="000000"/>
          <w:szCs w:val="24"/>
          <w:u w:val="single"/>
        </w:rPr>
        <w:t>Adoption of Gerard</w:t>
      </w:r>
      <w:r w:rsidR="001A42E5" w:rsidRPr="00736C61">
        <w:rPr>
          <w:rFonts w:eastAsia="Arial Unicode MS"/>
          <w:b/>
          <w:bCs/>
          <w:snapToGrid/>
          <w:color w:val="000000"/>
          <w:szCs w:val="24"/>
        </w:rPr>
        <w:t xml:space="preserve">, 87 Mass. App. Ct. 1122, No. 14-P-858 (May 21, 2015). </w:t>
      </w:r>
    </w:p>
    <w:p w:rsidR="001A42E5" w:rsidRDefault="001A42E5" w:rsidP="00736C61">
      <w:pPr>
        <w:widowControl/>
        <w:rPr>
          <w:rFonts w:eastAsia="Arial Unicode MS"/>
          <w:snapToGrid/>
          <w:color w:val="000000"/>
          <w:szCs w:val="24"/>
        </w:rPr>
      </w:pPr>
      <w:r w:rsidRPr="00736C61">
        <w:rPr>
          <w:rFonts w:eastAsia="Arial Unicode MS"/>
          <w:snapToGrid/>
          <w:color w:val="000000"/>
          <w:szCs w:val="24"/>
        </w:rPr>
        <w:t xml:space="preserve">In this </w:t>
      </w:r>
      <w:r w:rsidR="00736C61" w:rsidRPr="00736C61">
        <w:rPr>
          <w:rFonts w:eastAsia="Arial Unicode MS"/>
          <w:snapToGrid/>
          <w:color w:val="000000"/>
          <w:szCs w:val="24"/>
        </w:rPr>
        <w:t xml:space="preserve">case, Gerard’s mother and stepfather </w:t>
      </w:r>
      <w:r w:rsidRPr="00736C61">
        <w:rPr>
          <w:rFonts w:eastAsia="Arial Unicode MS"/>
          <w:snapToGrid/>
          <w:color w:val="000000"/>
          <w:szCs w:val="24"/>
        </w:rPr>
        <w:t>fi</w:t>
      </w:r>
      <w:r w:rsidR="00736C61" w:rsidRPr="00736C61">
        <w:rPr>
          <w:rFonts w:eastAsia="Arial Unicode MS"/>
          <w:snapToGrid/>
          <w:color w:val="000000"/>
          <w:szCs w:val="24"/>
        </w:rPr>
        <w:t xml:space="preserve">led an adoption petition in the Probate and Family </w:t>
      </w:r>
      <w:r w:rsidRPr="00736C61">
        <w:rPr>
          <w:rFonts w:eastAsia="Arial Unicode MS"/>
          <w:snapToGrid/>
          <w:color w:val="000000"/>
          <w:szCs w:val="24"/>
        </w:rPr>
        <w:t>Court</w:t>
      </w:r>
      <w:r w:rsidR="00736C61" w:rsidRPr="00736C61">
        <w:rPr>
          <w:rFonts w:eastAsia="Arial Unicode MS"/>
          <w:snapToGrid/>
          <w:color w:val="000000"/>
          <w:szCs w:val="24"/>
        </w:rPr>
        <w:t xml:space="preserve">. </w:t>
      </w:r>
      <w:r w:rsidRPr="00736C61">
        <w:rPr>
          <w:rFonts w:eastAsia="Arial Unicode MS"/>
          <w:snapToGrid/>
          <w:color w:val="000000"/>
          <w:szCs w:val="24"/>
        </w:rPr>
        <w:t xml:space="preserve"> </w:t>
      </w:r>
      <w:r w:rsidR="00736C61">
        <w:rPr>
          <w:rFonts w:eastAsia="Arial Unicode MS"/>
          <w:snapToGrid/>
          <w:color w:val="000000"/>
          <w:szCs w:val="24"/>
        </w:rPr>
        <w:t xml:space="preserve">The trial </w:t>
      </w:r>
      <w:r w:rsidRPr="00736C61">
        <w:rPr>
          <w:rFonts w:eastAsia="Arial Unicode MS"/>
          <w:snapToGrid/>
          <w:color w:val="000000"/>
          <w:szCs w:val="24"/>
        </w:rPr>
        <w:t>judge terminated the biological father’s parental rights</w:t>
      </w:r>
      <w:r w:rsidR="00736C61">
        <w:rPr>
          <w:rFonts w:eastAsia="Arial Unicode MS"/>
          <w:snapToGrid/>
          <w:color w:val="000000"/>
          <w:szCs w:val="24"/>
        </w:rPr>
        <w:t xml:space="preserve"> and approved the adoption</w:t>
      </w:r>
      <w:r w:rsidRPr="00736C61">
        <w:rPr>
          <w:rFonts w:eastAsia="Arial Unicode MS"/>
          <w:snapToGrid/>
          <w:color w:val="000000"/>
          <w:szCs w:val="24"/>
        </w:rPr>
        <w:t xml:space="preserve">. The </w:t>
      </w:r>
      <w:r w:rsidR="00736C61">
        <w:rPr>
          <w:rFonts w:eastAsia="Arial Unicode MS"/>
          <w:snapToGrid/>
          <w:color w:val="000000"/>
          <w:szCs w:val="24"/>
        </w:rPr>
        <w:t xml:space="preserve">biological </w:t>
      </w:r>
      <w:r w:rsidRPr="00736C61">
        <w:rPr>
          <w:rFonts w:eastAsia="Arial Unicode MS"/>
          <w:snapToGrid/>
          <w:color w:val="000000"/>
          <w:szCs w:val="24"/>
        </w:rPr>
        <w:t xml:space="preserve">father </w:t>
      </w:r>
      <w:r w:rsidR="00736C61">
        <w:rPr>
          <w:rFonts w:eastAsia="Arial Unicode MS"/>
          <w:snapToGrid/>
          <w:color w:val="000000"/>
          <w:szCs w:val="24"/>
        </w:rPr>
        <w:t>appealed. One of the father’</w:t>
      </w:r>
      <w:r w:rsidR="008D6239">
        <w:rPr>
          <w:rFonts w:eastAsia="Arial Unicode MS"/>
          <w:snapToGrid/>
          <w:color w:val="000000"/>
          <w:szCs w:val="24"/>
        </w:rPr>
        <w:t xml:space="preserve">s arguments on appeal was that the judge erred in failing to order or </w:t>
      </w:r>
      <w:r w:rsidR="00736C61">
        <w:rPr>
          <w:rFonts w:eastAsia="Arial Unicode MS"/>
          <w:snapToGrid/>
          <w:color w:val="000000"/>
          <w:szCs w:val="24"/>
        </w:rPr>
        <w:t>explicitly waive the requirement of a home</w:t>
      </w:r>
      <w:r w:rsidR="008D6239">
        <w:rPr>
          <w:rFonts w:eastAsia="Arial Unicode MS"/>
          <w:snapToGrid/>
          <w:color w:val="000000"/>
          <w:szCs w:val="24"/>
        </w:rPr>
        <w:t xml:space="preserve"> </w:t>
      </w:r>
      <w:r w:rsidR="00736C61">
        <w:rPr>
          <w:rFonts w:eastAsia="Arial Unicode MS"/>
          <w:snapToGrid/>
          <w:color w:val="000000"/>
          <w:szCs w:val="24"/>
        </w:rPr>
        <w:t>study under G.L. c. 210, § 5A</w:t>
      </w:r>
      <w:r w:rsidR="008D6239">
        <w:rPr>
          <w:rFonts w:eastAsia="Arial Unicode MS"/>
          <w:snapToGrid/>
          <w:color w:val="000000"/>
          <w:szCs w:val="24"/>
        </w:rPr>
        <w:t>.  The statute permits the court to waive the required home study when the petition for adoption is filed by a parent.  Here, the petitioners filed a motion requesting that the judge waive the home study, but the judge never ruled on the motion. The panel determined that</w:t>
      </w:r>
      <w:r w:rsidR="00E063F9">
        <w:rPr>
          <w:rFonts w:eastAsia="Arial Unicode MS"/>
          <w:snapToGrid/>
          <w:color w:val="000000"/>
          <w:szCs w:val="24"/>
        </w:rPr>
        <w:t>,</w:t>
      </w:r>
      <w:r w:rsidR="008D6239">
        <w:rPr>
          <w:rFonts w:eastAsia="Arial Unicode MS"/>
          <w:snapToGrid/>
          <w:color w:val="000000"/>
          <w:szCs w:val="24"/>
        </w:rPr>
        <w:t xml:space="preserve"> although the judge </w:t>
      </w:r>
      <w:r w:rsidR="00E063F9">
        <w:rPr>
          <w:rFonts w:eastAsia="Arial Unicode MS"/>
          <w:snapToGrid/>
          <w:color w:val="000000"/>
          <w:szCs w:val="24"/>
        </w:rPr>
        <w:t>failed to rule</w:t>
      </w:r>
      <w:r w:rsidR="008D6239">
        <w:rPr>
          <w:rFonts w:eastAsia="Arial Unicode MS"/>
          <w:snapToGrid/>
          <w:color w:val="000000"/>
          <w:szCs w:val="24"/>
        </w:rPr>
        <w:t xml:space="preserve"> on the motion, it was clear from </w:t>
      </w:r>
      <w:r w:rsidR="00E063F9">
        <w:rPr>
          <w:rFonts w:eastAsia="Arial Unicode MS"/>
          <w:snapToGrid/>
          <w:color w:val="000000"/>
          <w:szCs w:val="24"/>
        </w:rPr>
        <w:t>his favorable comments about the petitioner’s home that he</w:t>
      </w:r>
      <w:r w:rsidR="008D6239">
        <w:rPr>
          <w:rFonts w:eastAsia="Arial Unicode MS"/>
          <w:snapToGrid/>
          <w:color w:val="000000"/>
          <w:szCs w:val="24"/>
        </w:rPr>
        <w:t xml:space="preserve"> “constructively waived” the home study requirement.  Thus, the failure to either order or explicitly waive the home study did not constitute reversible error.</w:t>
      </w:r>
    </w:p>
    <w:p w:rsidR="00E063F9" w:rsidRDefault="00E063F9" w:rsidP="00736C61">
      <w:pPr>
        <w:widowControl/>
        <w:rPr>
          <w:rFonts w:eastAsia="Arial Unicode MS"/>
          <w:snapToGrid/>
          <w:color w:val="000000"/>
          <w:szCs w:val="24"/>
        </w:rPr>
      </w:pPr>
    </w:p>
    <w:p w:rsidR="00E063F9" w:rsidRPr="001A42E5" w:rsidRDefault="00E063F9" w:rsidP="00736C61">
      <w:pPr>
        <w:widowControl/>
        <w:rPr>
          <w:snapToGrid/>
          <w:color w:val="000000"/>
          <w:szCs w:val="24"/>
        </w:rPr>
      </w:pPr>
      <w:r>
        <w:rPr>
          <w:rFonts w:eastAsia="Arial Unicode MS"/>
          <w:snapToGrid/>
          <w:color w:val="000000"/>
          <w:szCs w:val="24"/>
        </w:rPr>
        <w:t>Note that this might still be a good issue in cases where the petitioner is not a parent and the judge does not have information about, or comment on, the home.</w:t>
      </w:r>
    </w:p>
    <w:p w:rsidR="001A42E5" w:rsidRPr="001A42E5" w:rsidRDefault="001A42E5" w:rsidP="001A42E5">
      <w:pPr>
        <w:widowControl/>
        <w:rPr>
          <w:snapToGrid/>
          <w:color w:val="000000"/>
          <w:szCs w:val="24"/>
        </w:rPr>
      </w:pPr>
    </w:p>
    <w:p w:rsidR="001A42E5" w:rsidRPr="00247BEC" w:rsidRDefault="00597D82" w:rsidP="001A42E5">
      <w:pPr>
        <w:widowControl/>
        <w:rPr>
          <w:snapToGrid/>
          <w:color w:val="000000"/>
          <w:szCs w:val="24"/>
        </w:rPr>
      </w:pPr>
      <w:r w:rsidRPr="00597D82">
        <w:rPr>
          <w:b/>
          <w:snapToGrid/>
          <w:color w:val="000000"/>
          <w:szCs w:val="24"/>
        </w:rPr>
        <w:t>5</w:t>
      </w:r>
      <w:r w:rsidR="008D6239" w:rsidRPr="00597D82">
        <w:rPr>
          <w:b/>
          <w:snapToGrid/>
          <w:color w:val="000000"/>
          <w:szCs w:val="24"/>
        </w:rPr>
        <w:t>.</w:t>
      </w:r>
      <w:r w:rsidR="008D6239">
        <w:rPr>
          <w:snapToGrid/>
          <w:color w:val="000000"/>
          <w:szCs w:val="24"/>
        </w:rPr>
        <w:tab/>
      </w:r>
      <w:r w:rsidR="005978A1">
        <w:rPr>
          <w:rFonts w:eastAsia="Arial Unicode MS" w:hAnsi="Arial Unicode MS" w:cs="Arial Unicode MS"/>
          <w:b/>
          <w:bCs/>
          <w:snapToGrid/>
          <w:color w:val="000000"/>
          <w:szCs w:val="24"/>
          <w:u w:val="single"/>
        </w:rPr>
        <w:t>Adoption of Nel</w:t>
      </w:r>
      <w:r w:rsidR="001A42E5" w:rsidRPr="001A42E5">
        <w:rPr>
          <w:rFonts w:eastAsia="Arial Unicode MS" w:hAnsi="Arial Unicode MS" w:cs="Arial Unicode MS"/>
          <w:b/>
          <w:bCs/>
          <w:snapToGrid/>
          <w:color w:val="000000"/>
          <w:szCs w:val="24"/>
          <w:u w:val="single"/>
        </w:rPr>
        <w:t>l</w:t>
      </w:r>
      <w:r w:rsidR="001A42E5" w:rsidRPr="001A42E5">
        <w:rPr>
          <w:rFonts w:eastAsia="Arial Unicode MS" w:hAnsi="Arial Unicode MS" w:cs="Arial Unicode MS"/>
          <w:b/>
          <w:bCs/>
          <w:snapToGrid/>
          <w:color w:val="000000"/>
          <w:szCs w:val="24"/>
        </w:rPr>
        <w:t xml:space="preserve">, 87 Mass. App. Ct. 1125, No. 14-P-1651 (June 1, 2015). </w:t>
      </w:r>
    </w:p>
    <w:p w:rsidR="00E063F9" w:rsidRDefault="001A42E5" w:rsidP="00C53751">
      <w:pPr>
        <w:widowControl/>
        <w:rPr>
          <w:rFonts w:eastAsia="Arial Unicode MS"/>
          <w:snapToGrid/>
          <w:color w:val="000000"/>
          <w:szCs w:val="24"/>
        </w:rPr>
      </w:pPr>
      <w:r w:rsidRPr="001A42E5">
        <w:rPr>
          <w:rFonts w:eastAsia="Arial Unicode MS" w:hAnsi="Arial Unicode MS" w:cs="Arial Unicode MS"/>
          <w:snapToGrid/>
          <w:color w:val="000000"/>
          <w:szCs w:val="24"/>
        </w:rPr>
        <w:t>In this case, the mother</w:t>
      </w:r>
      <w:r w:rsidR="00247BEC">
        <w:rPr>
          <w:rFonts w:eastAsia="Arial Unicode MS" w:hAnsi="Arial Unicode MS" w:cs="Arial Unicode MS"/>
          <w:snapToGrid/>
          <w:color w:val="000000"/>
          <w:szCs w:val="24"/>
        </w:rPr>
        <w:t>, who</w:t>
      </w:r>
      <w:r w:rsidRPr="001A42E5">
        <w:rPr>
          <w:rFonts w:eastAsia="Arial Unicode MS" w:hAnsi="Arial Unicode MS" w:cs="Arial Unicode MS"/>
          <w:snapToGrid/>
          <w:color w:val="000000"/>
          <w:szCs w:val="24"/>
        </w:rPr>
        <w:t xml:space="preserve"> had intellectual disabilities,</w:t>
      </w:r>
      <w:r w:rsidR="00247BEC">
        <w:rPr>
          <w:rFonts w:eastAsia="Arial Unicode MS" w:hAnsi="Arial Unicode MS" w:cs="Arial Unicode MS"/>
          <w:snapToGrid/>
          <w:color w:val="000000"/>
          <w:szCs w:val="24"/>
        </w:rPr>
        <w:t xml:space="preserve"> anxiety, PTSD</w:t>
      </w:r>
      <w:r w:rsidRPr="001A42E5">
        <w:rPr>
          <w:rFonts w:eastAsia="Arial Unicode MS" w:hAnsi="Arial Unicode MS" w:cs="Arial Unicode MS"/>
          <w:snapToGrid/>
          <w:color w:val="000000"/>
          <w:szCs w:val="24"/>
        </w:rPr>
        <w:t>, and other conditions</w:t>
      </w:r>
      <w:r w:rsidR="00247BEC">
        <w:rPr>
          <w:rFonts w:eastAsia="Arial Unicode MS" w:hAnsi="Arial Unicode MS" w:cs="Arial Unicode MS"/>
          <w:snapToGrid/>
          <w:color w:val="000000"/>
          <w:szCs w:val="24"/>
        </w:rPr>
        <w:t>, conceded her unfitness but appealed the termination of her parental rights</w:t>
      </w:r>
      <w:r w:rsidRPr="001A42E5">
        <w:rPr>
          <w:rFonts w:eastAsia="Arial Unicode MS" w:hAnsi="Arial Unicode MS" w:cs="Arial Unicode MS"/>
          <w:snapToGrid/>
          <w:color w:val="000000"/>
          <w:szCs w:val="24"/>
        </w:rPr>
        <w:t xml:space="preserve">. </w:t>
      </w:r>
      <w:r w:rsidR="00E063F9">
        <w:rPr>
          <w:rFonts w:eastAsia="Arial Unicode MS" w:hAnsi="Arial Unicode MS" w:cs="Arial Unicode MS"/>
          <w:snapToGrid/>
          <w:color w:val="000000"/>
          <w:szCs w:val="24"/>
        </w:rPr>
        <w:t xml:space="preserve"> </w:t>
      </w:r>
      <w:r w:rsidRPr="001A42E5">
        <w:rPr>
          <w:rFonts w:eastAsia="Arial Unicode MS" w:hAnsi="Arial Unicode MS" w:cs="Arial Unicode MS"/>
          <w:snapToGrid/>
          <w:color w:val="000000"/>
          <w:szCs w:val="24"/>
        </w:rPr>
        <w:t xml:space="preserve">At trial, the mother </w:t>
      </w:r>
      <w:r w:rsidR="003C2E28" w:rsidRPr="003C2E28">
        <w:rPr>
          <w:rFonts w:eastAsia="Arial Unicode MS"/>
          <w:snapToGrid/>
          <w:color w:val="000000"/>
          <w:szCs w:val="24"/>
        </w:rPr>
        <w:t xml:space="preserve">proposed an arrangement where </w:t>
      </w:r>
      <w:r w:rsidR="003C2E28">
        <w:rPr>
          <w:rFonts w:eastAsia="Arial Unicode MS"/>
          <w:snapToGrid/>
          <w:color w:val="000000"/>
          <w:szCs w:val="24"/>
        </w:rPr>
        <w:t>a family friend</w:t>
      </w:r>
      <w:r w:rsidR="00247BEC" w:rsidRPr="003C2E28">
        <w:rPr>
          <w:rFonts w:eastAsia="Arial Unicode MS"/>
          <w:snapToGrid/>
          <w:color w:val="000000"/>
          <w:szCs w:val="24"/>
        </w:rPr>
        <w:t xml:space="preserve"> </w:t>
      </w:r>
      <w:r w:rsidR="003C2E28">
        <w:rPr>
          <w:rFonts w:eastAsia="Arial Unicode MS"/>
          <w:snapToGrid/>
          <w:color w:val="000000"/>
          <w:szCs w:val="24"/>
        </w:rPr>
        <w:t xml:space="preserve">would </w:t>
      </w:r>
      <w:r w:rsidR="00247BEC" w:rsidRPr="003C2E28">
        <w:rPr>
          <w:rFonts w:eastAsia="Arial Unicode MS"/>
          <w:snapToGrid/>
          <w:color w:val="000000"/>
          <w:szCs w:val="24"/>
        </w:rPr>
        <w:t xml:space="preserve">be the guardian for both the mother and the child, who also had </w:t>
      </w:r>
      <w:r w:rsidR="003C2E28" w:rsidRPr="003C2E28">
        <w:rPr>
          <w:rFonts w:eastAsia="Arial Unicode MS"/>
          <w:snapToGrid/>
          <w:color w:val="000000"/>
          <w:szCs w:val="24"/>
        </w:rPr>
        <w:t xml:space="preserve">significant developmental delays. </w:t>
      </w:r>
      <w:r w:rsidR="00E063F9">
        <w:rPr>
          <w:rFonts w:eastAsia="Arial Unicode MS"/>
          <w:snapToGrid/>
          <w:color w:val="000000"/>
          <w:szCs w:val="24"/>
        </w:rPr>
        <w:t xml:space="preserve"> </w:t>
      </w:r>
      <w:r w:rsidR="003C2E28" w:rsidRPr="003C2E28">
        <w:rPr>
          <w:rFonts w:eastAsia="Arial Unicode MS"/>
          <w:snapToGrid/>
          <w:color w:val="000000"/>
          <w:szCs w:val="24"/>
        </w:rPr>
        <w:t>The judge found that the proposed caretaker was not capable of addressing the child’s needs and</w:t>
      </w:r>
      <w:r w:rsidR="003C2E28">
        <w:rPr>
          <w:rFonts w:eastAsia="Arial Unicode MS"/>
          <w:snapToGrid/>
          <w:color w:val="000000"/>
          <w:szCs w:val="24"/>
        </w:rPr>
        <w:t xml:space="preserve"> instead</w:t>
      </w:r>
      <w:r w:rsidR="003C2E28" w:rsidRPr="003C2E28">
        <w:rPr>
          <w:rFonts w:eastAsia="Arial Unicode MS"/>
          <w:snapToGrid/>
          <w:color w:val="000000"/>
          <w:szCs w:val="24"/>
        </w:rPr>
        <w:t xml:space="preserve"> approved DCF’</w:t>
      </w:r>
      <w:r w:rsidR="003C2E28">
        <w:rPr>
          <w:rFonts w:eastAsia="Arial Unicode MS"/>
          <w:snapToGrid/>
          <w:color w:val="000000"/>
          <w:szCs w:val="24"/>
        </w:rPr>
        <w:t>s</w:t>
      </w:r>
      <w:r w:rsidR="00E063F9">
        <w:rPr>
          <w:rFonts w:eastAsia="Arial Unicode MS"/>
          <w:snapToGrid/>
          <w:color w:val="000000"/>
          <w:szCs w:val="24"/>
        </w:rPr>
        <w:t xml:space="preserve"> recruitment</w:t>
      </w:r>
      <w:r w:rsidR="003C2E28">
        <w:rPr>
          <w:rFonts w:eastAsia="Arial Unicode MS"/>
          <w:snapToGrid/>
          <w:color w:val="000000"/>
          <w:szCs w:val="24"/>
        </w:rPr>
        <w:t xml:space="preserve"> plan</w:t>
      </w:r>
      <w:r w:rsidR="00E063F9">
        <w:rPr>
          <w:rFonts w:eastAsia="Arial Unicode MS"/>
          <w:snapToGrid/>
          <w:color w:val="000000"/>
          <w:szCs w:val="24"/>
        </w:rPr>
        <w:t xml:space="preserve"> for the child.  </w:t>
      </w:r>
      <w:r w:rsidR="003C2E28">
        <w:rPr>
          <w:rFonts w:eastAsia="Arial Unicode MS"/>
          <w:snapToGrid/>
          <w:color w:val="000000"/>
          <w:szCs w:val="24"/>
        </w:rPr>
        <w:t xml:space="preserve">The mother argued that the judge abused his discretion in failing </w:t>
      </w:r>
      <w:r w:rsidR="003C2E28">
        <w:rPr>
          <w:rFonts w:eastAsia="Arial Unicode MS"/>
          <w:snapToGrid/>
          <w:color w:val="000000"/>
          <w:szCs w:val="24"/>
        </w:rPr>
        <w:lastRenderedPageBreak/>
        <w:t xml:space="preserve">to consider a plan to recruit a caretaker for both the mother and child, especially in light of the recognized bond that they shared. </w:t>
      </w:r>
      <w:r w:rsidR="006D557F">
        <w:rPr>
          <w:rFonts w:eastAsia="Arial Unicode MS"/>
          <w:snapToGrid/>
          <w:color w:val="000000"/>
          <w:szCs w:val="24"/>
        </w:rPr>
        <w:t xml:space="preserve"> </w:t>
      </w:r>
    </w:p>
    <w:p w:rsidR="00E063F9" w:rsidRDefault="00E063F9" w:rsidP="001A42E5">
      <w:pPr>
        <w:widowControl/>
        <w:rPr>
          <w:rFonts w:eastAsia="Arial Unicode MS"/>
          <w:snapToGrid/>
          <w:color w:val="000000"/>
          <w:szCs w:val="24"/>
        </w:rPr>
      </w:pPr>
    </w:p>
    <w:p w:rsidR="001A42E5" w:rsidRDefault="00E063F9" w:rsidP="001A42E5">
      <w:pPr>
        <w:widowControl/>
        <w:rPr>
          <w:snapToGrid/>
          <w:color w:val="000000"/>
          <w:szCs w:val="24"/>
        </w:rPr>
      </w:pPr>
      <w:r>
        <w:rPr>
          <w:rFonts w:eastAsia="Arial Unicode MS"/>
          <w:snapToGrid/>
          <w:color w:val="000000"/>
          <w:szCs w:val="24"/>
        </w:rPr>
        <w:t xml:space="preserve">This is a very clever argument!  Unfortunately, it wasn’t preserved.  </w:t>
      </w:r>
      <w:r w:rsidR="003C2E28">
        <w:rPr>
          <w:rFonts w:eastAsia="Arial Unicode MS"/>
          <w:snapToGrid/>
          <w:color w:val="000000"/>
          <w:szCs w:val="24"/>
        </w:rPr>
        <w:t xml:space="preserve">The panel held that the judge did not abuse his discretion because the mother never requested that the judge consider a plan other than the specific one she proposed. </w:t>
      </w:r>
      <w:r w:rsidR="003D4079">
        <w:rPr>
          <w:rFonts w:eastAsia="Arial Unicode MS"/>
          <w:snapToGrid/>
          <w:color w:val="000000"/>
          <w:szCs w:val="24"/>
        </w:rPr>
        <w:t xml:space="preserve"> </w:t>
      </w:r>
      <w:r w:rsidR="003C2E28">
        <w:rPr>
          <w:rFonts w:eastAsia="Arial Unicode MS"/>
          <w:snapToGrid/>
          <w:color w:val="000000"/>
          <w:szCs w:val="24"/>
        </w:rPr>
        <w:t xml:space="preserve">Although a </w:t>
      </w:r>
      <w:r w:rsidR="00D738F6">
        <w:rPr>
          <w:rFonts w:eastAsia="Arial Unicode MS" w:hAnsi="Arial Unicode MS" w:cs="Arial Unicode MS"/>
          <w:snapToGrid/>
          <w:color w:val="000000"/>
          <w:szCs w:val="24"/>
        </w:rPr>
        <w:t xml:space="preserve">judge </w:t>
      </w:r>
      <w:r w:rsidR="00D738F6" w:rsidRPr="00D738F6">
        <w:rPr>
          <w:rFonts w:eastAsia="Arial Unicode MS" w:hAnsi="Arial Unicode MS" w:cs="Arial Unicode MS"/>
          <w:i/>
          <w:snapToGrid/>
          <w:color w:val="000000"/>
          <w:szCs w:val="24"/>
        </w:rPr>
        <w:t>can</w:t>
      </w:r>
      <w:r w:rsidR="003C2E28">
        <w:rPr>
          <w:rFonts w:eastAsia="Arial Unicode MS" w:hAnsi="Arial Unicode MS" w:cs="Arial Unicode MS"/>
          <w:snapToGrid/>
          <w:color w:val="000000"/>
          <w:szCs w:val="24"/>
        </w:rPr>
        <w:t xml:space="preserve"> </w:t>
      </w:r>
      <w:r w:rsidR="00D738F6">
        <w:rPr>
          <w:rFonts w:eastAsia="Arial Unicode MS" w:hAnsi="Arial Unicode MS" w:cs="Arial Unicode MS"/>
          <w:snapToGrid/>
          <w:color w:val="000000"/>
          <w:szCs w:val="24"/>
        </w:rPr>
        <w:t>fashion</w:t>
      </w:r>
      <w:r w:rsidR="003C2E28">
        <w:rPr>
          <w:rFonts w:eastAsia="Arial Unicode MS" w:hAnsi="Arial Unicode MS" w:cs="Arial Unicode MS"/>
          <w:snapToGrid/>
          <w:color w:val="000000"/>
          <w:szCs w:val="24"/>
        </w:rPr>
        <w:t xml:space="preserve"> a plan different from one proposed by any party, a judge is </w:t>
      </w:r>
      <w:r w:rsidR="001A42E5" w:rsidRPr="001A42E5">
        <w:rPr>
          <w:rFonts w:eastAsia="Arial Unicode MS" w:hAnsi="Arial Unicode MS" w:cs="Arial Unicode MS"/>
          <w:snapToGrid/>
          <w:color w:val="000000"/>
          <w:szCs w:val="24"/>
        </w:rPr>
        <w:t xml:space="preserve">not </w:t>
      </w:r>
      <w:r w:rsidR="001A42E5" w:rsidRPr="00D738F6">
        <w:rPr>
          <w:rFonts w:eastAsia="Arial Unicode MS" w:hAnsi="Arial Unicode MS" w:cs="Arial Unicode MS"/>
          <w:i/>
          <w:snapToGrid/>
          <w:color w:val="000000"/>
          <w:szCs w:val="24"/>
        </w:rPr>
        <w:t>required</w:t>
      </w:r>
      <w:r w:rsidR="001A42E5" w:rsidRPr="001A42E5">
        <w:rPr>
          <w:rFonts w:eastAsia="Arial Unicode MS" w:hAnsi="Arial Unicode MS" w:cs="Arial Unicode MS"/>
          <w:snapToGrid/>
          <w:color w:val="000000"/>
          <w:szCs w:val="24"/>
        </w:rPr>
        <w:t xml:space="preserve"> to address every possible arr</w:t>
      </w:r>
      <w:r w:rsidR="003C2E28">
        <w:rPr>
          <w:rFonts w:eastAsia="Arial Unicode MS" w:hAnsi="Arial Unicode MS" w:cs="Arial Unicode MS"/>
          <w:snapToGrid/>
          <w:color w:val="000000"/>
          <w:szCs w:val="24"/>
        </w:rPr>
        <w:t>angement for the child</w:t>
      </w:r>
      <w:r w:rsidR="001A42E5" w:rsidRPr="001A42E5">
        <w:rPr>
          <w:rFonts w:eastAsia="Arial Unicode MS" w:hAnsi="Arial Unicode MS" w:cs="Arial Unicode MS"/>
          <w:snapToGrid/>
          <w:color w:val="000000"/>
          <w:szCs w:val="24"/>
        </w:rPr>
        <w:t>.</w:t>
      </w:r>
      <w:r w:rsidR="003C2E28">
        <w:rPr>
          <w:rFonts w:eastAsia="Arial Unicode MS" w:hAnsi="Arial Unicode MS" w:cs="Arial Unicode MS"/>
          <w:snapToGrid/>
          <w:color w:val="000000"/>
          <w:szCs w:val="24"/>
        </w:rPr>
        <w:t xml:space="preserve"> </w:t>
      </w:r>
      <w:r w:rsidR="00D738F6">
        <w:rPr>
          <w:rFonts w:eastAsia="Arial Unicode MS" w:hAnsi="Arial Unicode MS" w:cs="Arial Unicode MS"/>
          <w:snapToGrid/>
          <w:color w:val="000000"/>
          <w:szCs w:val="24"/>
        </w:rPr>
        <w:t xml:space="preserve"> </w:t>
      </w:r>
      <w:r w:rsidR="006D557F">
        <w:rPr>
          <w:rFonts w:eastAsia="Arial Unicode MS" w:hAnsi="Arial Unicode MS" w:cs="Arial Unicode MS"/>
          <w:snapToGrid/>
          <w:color w:val="000000"/>
          <w:szCs w:val="24"/>
        </w:rPr>
        <w:t xml:space="preserve">If a parent wants a judge to consider alternative plans, the parent must </w:t>
      </w:r>
      <w:r w:rsidR="00D738F6">
        <w:rPr>
          <w:rFonts w:eastAsia="Arial Unicode MS" w:hAnsi="Arial Unicode MS" w:cs="Arial Unicode MS"/>
          <w:snapToGrid/>
          <w:color w:val="000000"/>
          <w:szCs w:val="24"/>
        </w:rPr>
        <w:t>propose such plans at trial</w:t>
      </w:r>
      <w:r w:rsidR="006D557F">
        <w:rPr>
          <w:rFonts w:eastAsia="Arial Unicode MS" w:hAnsi="Arial Unicode MS" w:cs="Arial Unicode MS"/>
          <w:snapToGrid/>
          <w:color w:val="000000"/>
          <w:szCs w:val="24"/>
        </w:rPr>
        <w:t xml:space="preserve">.  </w:t>
      </w:r>
      <w:r w:rsidR="003C2E28">
        <w:rPr>
          <w:rFonts w:eastAsia="Arial Unicode MS" w:hAnsi="Arial Unicode MS" w:cs="Arial Unicode MS"/>
          <w:snapToGrid/>
          <w:color w:val="000000"/>
          <w:szCs w:val="24"/>
        </w:rPr>
        <w:t xml:space="preserve"> </w:t>
      </w:r>
      <w:r w:rsidR="001A42E5" w:rsidRPr="001A42E5">
        <w:rPr>
          <w:rFonts w:eastAsia="Arial Unicode MS" w:hAnsi="Arial Unicode MS" w:cs="Arial Unicode MS"/>
          <w:snapToGrid/>
          <w:color w:val="000000"/>
          <w:szCs w:val="24"/>
        </w:rPr>
        <w:t xml:space="preserve"> </w:t>
      </w:r>
    </w:p>
    <w:p w:rsidR="008B6AA4" w:rsidRPr="001A42E5" w:rsidRDefault="008B6AA4" w:rsidP="001A42E5">
      <w:pPr>
        <w:widowControl/>
        <w:rPr>
          <w:snapToGrid/>
          <w:color w:val="000000"/>
          <w:szCs w:val="24"/>
        </w:rPr>
      </w:pPr>
    </w:p>
    <w:p w:rsidR="001A42E5" w:rsidRPr="001A42E5" w:rsidRDefault="00597D82" w:rsidP="001A42E5">
      <w:pPr>
        <w:widowControl/>
        <w:rPr>
          <w:b/>
          <w:bCs/>
          <w:snapToGrid/>
          <w:color w:val="000000"/>
          <w:szCs w:val="24"/>
        </w:rPr>
      </w:pPr>
      <w:r>
        <w:rPr>
          <w:rFonts w:eastAsia="Arial Unicode MS" w:hAnsi="Arial Unicode MS" w:cs="Arial Unicode MS"/>
          <w:b/>
          <w:bCs/>
          <w:snapToGrid/>
          <w:color w:val="000000"/>
          <w:szCs w:val="24"/>
        </w:rPr>
        <w:t>6</w:t>
      </w:r>
      <w:r w:rsidR="00912A1A">
        <w:rPr>
          <w:rFonts w:eastAsia="Arial Unicode MS" w:hAnsi="Arial Unicode MS" w:cs="Arial Unicode MS"/>
          <w:b/>
          <w:bCs/>
          <w:snapToGrid/>
          <w:color w:val="000000"/>
          <w:szCs w:val="24"/>
        </w:rPr>
        <w:t>.</w:t>
      </w:r>
      <w:r w:rsidR="00912A1A">
        <w:rPr>
          <w:rFonts w:eastAsia="Arial Unicode MS" w:hAnsi="Arial Unicode MS" w:cs="Arial Unicode MS"/>
          <w:b/>
          <w:bCs/>
          <w:snapToGrid/>
          <w:color w:val="000000"/>
          <w:szCs w:val="24"/>
        </w:rPr>
        <w:tab/>
      </w:r>
      <w:r w:rsidR="001A42E5" w:rsidRPr="001A42E5">
        <w:rPr>
          <w:rFonts w:eastAsia="Arial Unicode MS" w:hAnsi="Arial Unicode MS" w:cs="Arial Unicode MS"/>
          <w:b/>
          <w:bCs/>
          <w:snapToGrid/>
          <w:color w:val="000000"/>
          <w:szCs w:val="24"/>
          <w:u w:val="single"/>
        </w:rPr>
        <w:t>Adoption of Harry</w:t>
      </w:r>
      <w:r w:rsidR="001A42E5" w:rsidRPr="001A42E5">
        <w:rPr>
          <w:rFonts w:eastAsia="Arial Unicode MS" w:hAnsi="Arial Unicode MS" w:cs="Arial Unicode MS"/>
          <w:b/>
          <w:bCs/>
          <w:snapToGrid/>
          <w:color w:val="000000"/>
          <w:szCs w:val="24"/>
        </w:rPr>
        <w:t>, 87 Mass. App. Ct. 1128, No. 14-P-1296</w:t>
      </w:r>
      <w:r w:rsidR="00912A1A">
        <w:rPr>
          <w:rFonts w:eastAsia="Arial Unicode MS" w:hAnsi="Arial Unicode MS" w:cs="Arial Unicode MS"/>
          <w:b/>
          <w:bCs/>
          <w:snapToGrid/>
          <w:color w:val="000000"/>
          <w:szCs w:val="24"/>
        </w:rPr>
        <w:t xml:space="preserve"> </w:t>
      </w:r>
      <w:r w:rsidR="001A42E5" w:rsidRPr="001A42E5">
        <w:rPr>
          <w:rFonts w:eastAsia="Arial Unicode MS" w:hAnsi="Arial Unicode MS" w:cs="Arial Unicode MS"/>
          <w:b/>
          <w:bCs/>
          <w:snapToGrid/>
          <w:color w:val="000000"/>
          <w:szCs w:val="24"/>
        </w:rPr>
        <w:t xml:space="preserve">(June 10, 2015). </w:t>
      </w:r>
    </w:p>
    <w:p w:rsidR="000A71A8" w:rsidRDefault="00436C31" w:rsidP="000A71A8">
      <w:pPr>
        <w:pStyle w:val="NoSpacing"/>
        <w:rPr>
          <w:rFonts w:eastAsia="Arial Unicode MS"/>
          <w:snapToGrid/>
        </w:rPr>
      </w:pPr>
      <w:proofErr w:type="gramStart"/>
      <w:r>
        <w:rPr>
          <w:rFonts w:eastAsia="Arial Unicode MS"/>
          <w:snapToGrid/>
        </w:rPr>
        <w:t>The appellant-parents’</w:t>
      </w:r>
      <w:r w:rsidR="00524CAC">
        <w:rPr>
          <w:rFonts w:eastAsia="Arial Unicode MS"/>
          <w:snapToGrid/>
        </w:rPr>
        <w:t xml:space="preserve"> main </w:t>
      </w:r>
      <w:r>
        <w:rPr>
          <w:rFonts w:eastAsia="Arial Unicode MS"/>
          <w:snapToGrid/>
        </w:rPr>
        <w:t>argument on appeal</w:t>
      </w:r>
      <w:r w:rsidR="00524CAC">
        <w:rPr>
          <w:rFonts w:eastAsia="Arial Unicode MS"/>
          <w:snapToGrid/>
        </w:rPr>
        <w:t xml:space="preserve"> </w:t>
      </w:r>
      <w:r w:rsidR="001A42E5" w:rsidRPr="001A42E5">
        <w:rPr>
          <w:rFonts w:eastAsia="Arial Unicode MS"/>
          <w:snapToGrid/>
        </w:rPr>
        <w:t xml:space="preserve">centered on the </w:t>
      </w:r>
      <w:r w:rsidR="00524CAC">
        <w:rPr>
          <w:rFonts w:eastAsia="Arial Unicode MS"/>
          <w:snapToGrid/>
        </w:rPr>
        <w:t>manner in which the trial judge took testimony from</w:t>
      </w:r>
      <w:r w:rsidR="001A42E5" w:rsidRPr="001A42E5">
        <w:rPr>
          <w:rFonts w:eastAsia="Arial Unicode MS"/>
          <w:snapToGrid/>
        </w:rPr>
        <w:t xml:space="preserve"> the father</w:t>
      </w:r>
      <w:r w:rsidR="001A42E5" w:rsidRPr="001A42E5">
        <w:rPr>
          <w:rFonts w:ascii="Helvetica" w:eastAsia="Arial Unicode MS"/>
          <w:snapToGrid/>
        </w:rPr>
        <w:t>’</w:t>
      </w:r>
      <w:r w:rsidR="001A42E5" w:rsidRPr="001A42E5">
        <w:rPr>
          <w:rFonts w:eastAsia="Arial Unicode MS"/>
          <w:snapToGrid/>
        </w:rPr>
        <w:t>s daughter from a previous relationship</w:t>
      </w:r>
      <w:r w:rsidR="00524CAC">
        <w:rPr>
          <w:rFonts w:eastAsia="Arial Unicode MS"/>
          <w:snapToGrid/>
        </w:rPr>
        <w:t>, Kathryn.</w:t>
      </w:r>
      <w:proofErr w:type="gramEnd"/>
      <w:r w:rsidR="00524CAC">
        <w:rPr>
          <w:rFonts w:eastAsia="Arial Unicode MS"/>
          <w:snapToGrid/>
        </w:rPr>
        <w:t xml:space="preserve"> </w:t>
      </w:r>
      <w:r>
        <w:rPr>
          <w:rFonts w:eastAsia="Arial Unicode MS"/>
          <w:snapToGrid/>
        </w:rPr>
        <w:t xml:space="preserve"> </w:t>
      </w:r>
      <w:r w:rsidR="00524CAC">
        <w:rPr>
          <w:rFonts w:eastAsia="Arial Unicode MS"/>
          <w:snapToGrid/>
        </w:rPr>
        <w:t>T</w:t>
      </w:r>
      <w:r w:rsidR="001A42E5" w:rsidRPr="001A42E5">
        <w:rPr>
          <w:rFonts w:eastAsia="Arial Unicode MS"/>
          <w:snapToGrid/>
        </w:rPr>
        <w:t>he judge</w:t>
      </w:r>
      <w:r w:rsidR="000A71A8">
        <w:rPr>
          <w:rFonts w:eastAsia="Arial Unicode MS"/>
          <w:snapToGrid/>
        </w:rPr>
        <w:t xml:space="preserve"> </w:t>
      </w:r>
      <w:r w:rsidR="001A42E5" w:rsidRPr="001A42E5">
        <w:rPr>
          <w:rFonts w:eastAsia="Arial Unicode MS"/>
          <w:snapToGrid/>
        </w:rPr>
        <w:t>excluded both parents from the courtroom</w:t>
      </w:r>
      <w:r w:rsidR="006B1C5E">
        <w:rPr>
          <w:rFonts w:eastAsia="Arial Unicode MS"/>
          <w:snapToGrid/>
        </w:rPr>
        <w:t xml:space="preserve"> during Kathryn’s testimony</w:t>
      </w:r>
      <w:r w:rsidR="000A71A8">
        <w:rPr>
          <w:rFonts w:eastAsia="Arial Unicode MS"/>
          <w:snapToGrid/>
        </w:rPr>
        <w:t>.  The mother</w:t>
      </w:r>
      <w:r>
        <w:rPr>
          <w:rFonts w:eastAsia="Arial Unicode MS"/>
          <w:snapToGrid/>
        </w:rPr>
        <w:t>’s</w:t>
      </w:r>
      <w:r w:rsidR="000A71A8">
        <w:rPr>
          <w:rFonts w:eastAsia="Arial Unicode MS"/>
          <w:snapToGrid/>
        </w:rPr>
        <w:t xml:space="preserve"> and father’s a</w:t>
      </w:r>
      <w:r w:rsidR="001A42E5" w:rsidRPr="001A42E5">
        <w:rPr>
          <w:rFonts w:eastAsia="Arial Unicode MS"/>
          <w:snapToGrid/>
        </w:rPr>
        <w:t xml:space="preserve">ttorneys were allowed to be present, but </w:t>
      </w:r>
      <w:r w:rsidR="000A71A8">
        <w:rPr>
          <w:rFonts w:eastAsia="Arial Unicode MS"/>
          <w:snapToGrid/>
        </w:rPr>
        <w:t xml:space="preserve">they </w:t>
      </w:r>
      <w:r w:rsidR="001A42E5" w:rsidRPr="001A42E5">
        <w:rPr>
          <w:rFonts w:eastAsia="Arial Unicode MS"/>
          <w:snapToGrid/>
        </w:rPr>
        <w:t xml:space="preserve">were only allowed to submit questions through the judge. </w:t>
      </w:r>
      <w:r>
        <w:rPr>
          <w:rFonts w:eastAsia="Arial Unicode MS"/>
          <w:snapToGrid/>
        </w:rPr>
        <w:t xml:space="preserve"> </w:t>
      </w:r>
      <w:r w:rsidR="001A42E5" w:rsidRPr="001A42E5">
        <w:rPr>
          <w:rFonts w:eastAsia="Arial Unicode MS"/>
          <w:snapToGrid/>
        </w:rPr>
        <w:t xml:space="preserve">The parents argued that this violated their due process rights. </w:t>
      </w:r>
      <w:r>
        <w:rPr>
          <w:rFonts w:eastAsia="Arial Unicode MS"/>
          <w:snapToGrid/>
        </w:rPr>
        <w:t xml:space="preserve"> </w:t>
      </w:r>
      <w:r w:rsidR="001A42E5" w:rsidRPr="001A42E5">
        <w:rPr>
          <w:rFonts w:eastAsia="Arial Unicode MS"/>
          <w:snapToGrid/>
        </w:rPr>
        <w:t xml:space="preserve">The Appeals Court </w:t>
      </w:r>
      <w:r w:rsidR="000A71A8">
        <w:rPr>
          <w:rFonts w:eastAsia="Arial Unicode MS"/>
          <w:snapToGrid/>
        </w:rPr>
        <w:t>disagreed.</w:t>
      </w:r>
      <w:r>
        <w:rPr>
          <w:rFonts w:eastAsia="Arial Unicode MS"/>
          <w:snapToGrid/>
        </w:rPr>
        <w:t xml:space="preserve"> </w:t>
      </w:r>
      <w:r w:rsidR="000A71A8">
        <w:rPr>
          <w:rFonts w:eastAsia="Arial Unicode MS"/>
          <w:snapToGrid/>
        </w:rPr>
        <w:t xml:space="preserve"> The panel held that the process allowed the parents sufficient opportunity to rebut Kathryn’s</w:t>
      </w:r>
      <w:r w:rsidR="001A42E5" w:rsidRPr="001A42E5">
        <w:rPr>
          <w:rFonts w:eastAsia="Arial Unicode MS"/>
          <w:snapToGrid/>
        </w:rPr>
        <w:t xml:space="preserve"> allegations </w:t>
      </w:r>
      <w:r w:rsidR="000A71A8">
        <w:rPr>
          <w:rFonts w:eastAsia="Arial Unicode MS"/>
          <w:snapToGrid/>
        </w:rPr>
        <w:t>of abuse</w:t>
      </w:r>
      <w:r w:rsidR="001A42E5" w:rsidRPr="001A42E5">
        <w:rPr>
          <w:rFonts w:eastAsia="Arial Unicode MS"/>
          <w:snapToGrid/>
        </w:rPr>
        <w:t xml:space="preserve">. </w:t>
      </w:r>
      <w:r w:rsidR="000A71A8">
        <w:rPr>
          <w:rFonts w:eastAsia="Arial Unicode MS"/>
          <w:snapToGrid/>
        </w:rPr>
        <w:t xml:space="preserve">The panel further reasoned that the parents had ample opportunity to call additional witnesses and present other evidence to rebut the allegations. </w:t>
      </w:r>
    </w:p>
    <w:p w:rsidR="000A71A8" w:rsidRDefault="000A71A8" w:rsidP="00524CAC">
      <w:pPr>
        <w:widowControl/>
        <w:rPr>
          <w:rFonts w:eastAsia="Arial Unicode MS" w:hAnsi="Arial Unicode MS" w:cs="Arial Unicode MS"/>
          <w:snapToGrid/>
          <w:color w:val="000000"/>
          <w:szCs w:val="24"/>
        </w:rPr>
      </w:pPr>
    </w:p>
    <w:p w:rsidR="001A42E5" w:rsidRDefault="001A42E5" w:rsidP="00A10C76">
      <w:pPr>
        <w:pStyle w:val="NoSpacing"/>
        <w:rPr>
          <w:rFonts w:eastAsia="Arial Unicode MS"/>
          <w:snapToGrid/>
        </w:rPr>
      </w:pPr>
      <w:r w:rsidRPr="001A42E5">
        <w:rPr>
          <w:rFonts w:eastAsia="Arial Unicode MS"/>
          <w:snapToGrid/>
        </w:rPr>
        <w:t>The parents a</w:t>
      </w:r>
      <w:r w:rsidR="006B1C5E">
        <w:rPr>
          <w:rFonts w:eastAsia="Arial Unicode MS"/>
          <w:snapToGrid/>
        </w:rPr>
        <w:t xml:space="preserve">lso argued that the judge erred by not making an explicit finding that the method for taking Kathryn’s testimony was tailored to prevent </w:t>
      </w:r>
      <w:r w:rsidRPr="001A42E5">
        <w:rPr>
          <w:rFonts w:eastAsia="Arial Unicode MS"/>
          <w:snapToGrid/>
        </w:rPr>
        <w:t>trauma</w:t>
      </w:r>
      <w:r w:rsidR="006B1C5E">
        <w:rPr>
          <w:rFonts w:eastAsia="Arial Unicode MS"/>
          <w:snapToGrid/>
        </w:rPr>
        <w:t xml:space="preserve"> to Kathryn</w:t>
      </w:r>
      <w:r w:rsidRPr="001A42E5">
        <w:rPr>
          <w:rFonts w:eastAsia="Arial Unicode MS"/>
          <w:snapToGrid/>
        </w:rPr>
        <w:t>.</w:t>
      </w:r>
      <w:r w:rsidR="00436C31">
        <w:rPr>
          <w:rFonts w:eastAsia="Arial Unicode MS"/>
          <w:snapToGrid/>
        </w:rPr>
        <w:t xml:space="preserve"> </w:t>
      </w:r>
      <w:r w:rsidRPr="001A42E5">
        <w:rPr>
          <w:rFonts w:eastAsia="Arial Unicode MS"/>
          <w:snapToGrid/>
        </w:rPr>
        <w:t xml:space="preserve"> The </w:t>
      </w:r>
      <w:r w:rsidR="006B1C5E">
        <w:rPr>
          <w:rFonts w:eastAsia="Arial Unicode MS"/>
          <w:snapToGrid/>
        </w:rPr>
        <w:t>panel again disagreed</w:t>
      </w:r>
      <w:r w:rsidR="00A10C76">
        <w:rPr>
          <w:rFonts w:eastAsia="Arial Unicode MS"/>
          <w:snapToGrid/>
        </w:rPr>
        <w:t>,</w:t>
      </w:r>
      <w:r w:rsidR="006B1C5E">
        <w:rPr>
          <w:rFonts w:eastAsia="Arial Unicode MS"/>
          <w:snapToGrid/>
        </w:rPr>
        <w:t xml:space="preserve"> noting that the judge’s determination tha</w:t>
      </w:r>
      <w:r w:rsidR="00A10C76">
        <w:rPr>
          <w:rFonts w:eastAsia="Arial Unicode MS"/>
          <w:snapToGrid/>
        </w:rPr>
        <w:t>t Kathryn would suffer trauma was</w:t>
      </w:r>
      <w:r w:rsidR="006B1C5E">
        <w:rPr>
          <w:rFonts w:eastAsia="Arial Unicode MS"/>
          <w:snapToGrid/>
        </w:rPr>
        <w:t xml:space="preserve"> “implicit</w:t>
      </w:r>
      <w:r w:rsidR="00A10C76">
        <w:rPr>
          <w:rFonts w:eastAsia="Arial Unicode MS"/>
          <w:snapToGrid/>
        </w:rPr>
        <w:t>,</w:t>
      </w:r>
      <w:r w:rsidR="006B1C5E">
        <w:rPr>
          <w:rFonts w:eastAsia="Arial Unicode MS"/>
          <w:snapToGrid/>
        </w:rPr>
        <w:t>” given Kathryn’s history and the concerns of her psychiatrist</w:t>
      </w:r>
      <w:r w:rsidRPr="001A42E5">
        <w:rPr>
          <w:rFonts w:eastAsia="Arial Unicode MS"/>
          <w:snapToGrid/>
        </w:rPr>
        <w:t xml:space="preserve">. </w:t>
      </w:r>
      <w:r w:rsidR="00436C31">
        <w:rPr>
          <w:rFonts w:eastAsia="Arial Unicode MS"/>
          <w:snapToGrid/>
        </w:rPr>
        <w:t xml:space="preserve"> </w:t>
      </w:r>
      <w:r w:rsidR="00A10C76">
        <w:rPr>
          <w:rFonts w:eastAsia="Arial Unicode MS"/>
          <w:snapToGrid/>
        </w:rPr>
        <w:t xml:space="preserve">Explicit findings were not necessary. </w:t>
      </w:r>
    </w:p>
    <w:p w:rsidR="00A10C76" w:rsidRDefault="00A10C76" w:rsidP="00A10C76">
      <w:pPr>
        <w:pStyle w:val="NoSpacing"/>
        <w:rPr>
          <w:rFonts w:eastAsia="Arial Unicode MS"/>
          <w:snapToGrid/>
        </w:rPr>
      </w:pPr>
    </w:p>
    <w:p w:rsidR="00A10C76" w:rsidRPr="001A42E5" w:rsidRDefault="005D23ED" w:rsidP="00A10C76">
      <w:pPr>
        <w:pStyle w:val="NoSpacing"/>
        <w:rPr>
          <w:snapToGrid/>
        </w:rPr>
      </w:pPr>
      <w:r>
        <w:rPr>
          <w:rFonts w:eastAsia="Arial Unicode MS"/>
          <w:snapToGrid/>
        </w:rPr>
        <w:t xml:space="preserve">Although </w:t>
      </w:r>
      <w:r w:rsidRPr="005D23ED">
        <w:rPr>
          <w:rFonts w:eastAsia="Arial Unicode MS"/>
          <w:snapToGrid/>
          <w:u w:val="single"/>
        </w:rPr>
        <w:t>Harry</w:t>
      </w:r>
      <w:r>
        <w:rPr>
          <w:rFonts w:eastAsia="Arial Unicode MS"/>
          <w:snapToGrid/>
        </w:rPr>
        <w:t xml:space="preserve"> appears to be contrary to the holding in </w:t>
      </w:r>
      <w:r w:rsidRPr="005D23ED">
        <w:rPr>
          <w:rFonts w:eastAsia="Arial Unicode MS"/>
          <w:snapToGrid/>
          <w:u w:val="single"/>
        </w:rPr>
        <w:t xml:space="preserve">Adoption of </w:t>
      </w:r>
      <w:proofErr w:type="spellStart"/>
      <w:r w:rsidRPr="005D23ED">
        <w:rPr>
          <w:rFonts w:eastAsia="Arial Unicode MS"/>
          <w:snapToGrid/>
          <w:u w:val="single"/>
        </w:rPr>
        <w:t>Roni</w:t>
      </w:r>
      <w:proofErr w:type="spellEnd"/>
      <w:r>
        <w:rPr>
          <w:rFonts w:eastAsia="Arial Unicode MS"/>
          <w:snapToGrid/>
        </w:rPr>
        <w:t xml:space="preserve">, 56 Mass. App. Ct. 52, 55 (2002), it is consistent.  </w:t>
      </w:r>
      <w:proofErr w:type="spellStart"/>
      <w:r w:rsidRPr="005D23ED">
        <w:rPr>
          <w:rFonts w:eastAsia="Arial Unicode MS"/>
          <w:snapToGrid/>
          <w:u w:val="single"/>
        </w:rPr>
        <w:t>Roni</w:t>
      </w:r>
      <w:proofErr w:type="spellEnd"/>
      <w:r>
        <w:rPr>
          <w:rFonts w:eastAsia="Arial Unicode MS"/>
          <w:snapToGrid/>
        </w:rPr>
        <w:t xml:space="preserve"> stands for the proposition that modifications for children’s testimony should “ordinarily” be supported by written findings regarding trauma to the child.  </w:t>
      </w:r>
      <w:r w:rsidRPr="005D23ED">
        <w:rPr>
          <w:rFonts w:eastAsia="Arial Unicode MS"/>
          <w:snapToGrid/>
          <w:u w:val="single"/>
        </w:rPr>
        <w:t>Id</w:t>
      </w:r>
      <w:r>
        <w:rPr>
          <w:rFonts w:eastAsia="Arial Unicode MS"/>
          <w:snapToGrid/>
        </w:rPr>
        <w:t xml:space="preserve">.  But “ordinarily” is not “always”; indeed, in </w:t>
      </w:r>
      <w:proofErr w:type="spellStart"/>
      <w:r w:rsidRPr="005D23ED">
        <w:rPr>
          <w:rFonts w:eastAsia="Arial Unicode MS"/>
          <w:snapToGrid/>
          <w:u w:val="single"/>
        </w:rPr>
        <w:t>Roni</w:t>
      </w:r>
      <w:proofErr w:type="spellEnd"/>
      <w:r>
        <w:rPr>
          <w:rFonts w:eastAsia="Arial Unicode MS"/>
          <w:snapToGrid/>
        </w:rPr>
        <w:t xml:space="preserve">, the Court held that the judge implicitly made findings of trauma based on testimony from the children’s therapists.   </w:t>
      </w:r>
    </w:p>
    <w:p w:rsidR="001A42E5" w:rsidRPr="001A42E5" w:rsidRDefault="001A42E5" w:rsidP="001A42E5">
      <w:pPr>
        <w:widowControl/>
        <w:rPr>
          <w:snapToGrid/>
          <w:color w:val="000000"/>
          <w:szCs w:val="24"/>
        </w:rPr>
      </w:pPr>
    </w:p>
    <w:p w:rsidR="001A42E5" w:rsidRPr="001A42E5" w:rsidRDefault="00597D82" w:rsidP="00F920E4">
      <w:pPr>
        <w:widowControl/>
        <w:rPr>
          <w:b/>
          <w:bCs/>
          <w:snapToGrid/>
          <w:color w:val="000000"/>
          <w:szCs w:val="24"/>
        </w:rPr>
      </w:pPr>
      <w:r>
        <w:rPr>
          <w:rFonts w:eastAsia="Arial Unicode MS" w:hAnsi="Arial Unicode MS" w:cs="Arial Unicode MS"/>
          <w:b/>
          <w:bCs/>
          <w:snapToGrid/>
          <w:color w:val="000000"/>
          <w:szCs w:val="24"/>
        </w:rPr>
        <w:t>7</w:t>
      </w:r>
      <w:r w:rsidR="00F920E4">
        <w:rPr>
          <w:rFonts w:eastAsia="Arial Unicode MS" w:hAnsi="Arial Unicode MS" w:cs="Arial Unicode MS"/>
          <w:b/>
          <w:bCs/>
          <w:snapToGrid/>
          <w:color w:val="000000"/>
          <w:szCs w:val="24"/>
        </w:rPr>
        <w:t>.</w:t>
      </w:r>
      <w:r w:rsidR="00F920E4">
        <w:rPr>
          <w:rFonts w:eastAsia="Arial Unicode MS" w:hAnsi="Arial Unicode MS" w:cs="Arial Unicode MS"/>
          <w:b/>
          <w:bCs/>
          <w:snapToGrid/>
          <w:color w:val="000000"/>
          <w:szCs w:val="24"/>
        </w:rPr>
        <w:tab/>
      </w:r>
      <w:r w:rsidR="001A42E5" w:rsidRPr="001A42E5">
        <w:rPr>
          <w:rFonts w:eastAsia="Arial Unicode MS" w:hAnsi="Arial Unicode MS" w:cs="Arial Unicode MS"/>
          <w:b/>
          <w:bCs/>
          <w:snapToGrid/>
          <w:color w:val="000000"/>
          <w:szCs w:val="24"/>
          <w:u w:val="single"/>
        </w:rPr>
        <w:t xml:space="preserve">Adoption of </w:t>
      </w:r>
      <w:proofErr w:type="spellStart"/>
      <w:r w:rsidR="001A42E5" w:rsidRPr="001A42E5">
        <w:rPr>
          <w:rFonts w:eastAsia="Arial Unicode MS" w:hAnsi="Arial Unicode MS" w:cs="Arial Unicode MS"/>
          <w:b/>
          <w:bCs/>
          <w:snapToGrid/>
          <w:color w:val="000000"/>
          <w:szCs w:val="24"/>
          <w:u w:val="single"/>
        </w:rPr>
        <w:t>Zena</w:t>
      </w:r>
      <w:proofErr w:type="spellEnd"/>
      <w:r w:rsidR="001A42E5" w:rsidRPr="001A42E5">
        <w:rPr>
          <w:rFonts w:eastAsia="Arial Unicode MS" w:hAnsi="Arial Unicode MS" w:cs="Arial Unicode MS"/>
          <w:b/>
          <w:bCs/>
          <w:snapToGrid/>
          <w:color w:val="000000"/>
          <w:szCs w:val="24"/>
        </w:rPr>
        <w:t>, 87 Mass. App. Ct. 1136, No. 14-P-1691 (July 20, 2015).</w:t>
      </w:r>
    </w:p>
    <w:p w:rsidR="002B60FA" w:rsidRDefault="009B3CED" w:rsidP="00455861">
      <w:pPr>
        <w:rPr>
          <w:rFonts w:eastAsia="Arial Unicode MS"/>
          <w:snapToGrid/>
        </w:rPr>
      </w:pPr>
      <w:r>
        <w:rPr>
          <w:rFonts w:eastAsia="Arial Unicode MS"/>
          <w:snapToGrid/>
        </w:rPr>
        <w:t xml:space="preserve">In </w:t>
      </w:r>
      <w:proofErr w:type="spellStart"/>
      <w:r w:rsidRPr="009B3CED">
        <w:rPr>
          <w:rFonts w:eastAsia="Arial Unicode MS"/>
          <w:snapToGrid/>
          <w:u w:val="single"/>
        </w:rPr>
        <w:t>Zena</w:t>
      </w:r>
      <w:proofErr w:type="spellEnd"/>
      <w:r>
        <w:rPr>
          <w:rFonts w:eastAsia="Arial Unicode MS"/>
          <w:snapToGrid/>
        </w:rPr>
        <w:t xml:space="preserve">, the mother surrendered her parental rights, but DCF did not notify the father of the proceedings until 2 ½ years later.  </w:t>
      </w:r>
      <w:r w:rsidR="001A42E5" w:rsidRPr="001A42E5">
        <w:rPr>
          <w:rFonts w:eastAsia="Arial Unicode MS"/>
          <w:snapToGrid/>
        </w:rPr>
        <w:t>The father</w:t>
      </w:r>
      <w:r w:rsidR="00F920E4">
        <w:rPr>
          <w:rFonts w:eastAsia="Arial Unicode MS"/>
          <w:snapToGrid/>
        </w:rPr>
        <w:t xml:space="preserve"> appealed the decree terminating his rights</w:t>
      </w:r>
      <w:r>
        <w:rPr>
          <w:rFonts w:eastAsia="Arial Unicode MS"/>
          <w:snapToGrid/>
        </w:rPr>
        <w:t>,</w:t>
      </w:r>
      <w:r w:rsidR="00F920E4">
        <w:rPr>
          <w:rFonts w:eastAsia="Arial Unicode MS"/>
          <w:snapToGrid/>
        </w:rPr>
        <w:t xml:space="preserve"> arguing that </w:t>
      </w:r>
      <w:r>
        <w:rPr>
          <w:rFonts w:eastAsia="Arial Unicode MS"/>
          <w:snapToGrid/>
        </w:rPr>
        <w:t xml:space="preserve">DCF’s delay in notifying him </w:t>
      </w:r>
      <w:r w:rsidR="00F920E4">
        <w:rPr>
          <w:rFonts w:eastAsia="Arial Unicode MS"/>
          <w:snapToGrid/>
        </w:rPr>
        <w:t xml:space="preserve">violated his due process rights. </w:t>
      </w:r>
    </w:p>
    <w:p w:rsidR="002B60FA" w:rsidRDefault="002B60FA" w:rsidP="00455861">
      <w:pPr>
        <w:rPr>
          <w:rFonts w:eastAsia="Arial Unicode MS"/>
          <w:snapToGrid/>
        </w:rPr>
      </w:pPr>
    </w:p>
    <w:p w:rsidR="002B60FA" w:rsidRDefault="00F920E4" w:rsidP="00455861">
      <w:pPr>
        <w:rPr>
          <w:rFonts w:eastAsia="Arial Unicode MS"/>
          <w:snapToGrid/>
        </w:rPr>
      </w:pPr>
      <w:r>
        <w:rPr>
          <w:rFonts w:eastAsia="Arial Unicode MS"/>
          <w:snapToGrid/>
        </w:rPr>
        <w:t xml:space="preserve">The father was in jail for most of </w:t>
      </w:r>
      <w:proofErr w:type="spellStart"/>
      <w:r>
        <w:rPr>
          <w:rFonts w:eastAsia="Arial Unicode MS"/>
          <w:snapToGrid/>
        </w:rPr>
        <w:t>Zena’s</w:t>
      </w:r>
      <w:proofErr w:type="spellEnd"/>
      <w:r w:rsidR="001A42E5" w:rsidRPr="001A42E5">
        <w:rPr>
          <w:rFonts w:eastAsia="Arial Unicode MS"/>
          <w:snapToGrid/>
        </w:rPr>
        <w:t xml:space="preserve"> life</w:t>
      </w:r>
      <w:r>
        <w:rPr>
          <w:rFonts w:eastAsia="Arial Unicode MS"/>
          <w:snapToGrid/>
        </w:rPr>
        <w:t xml:space="preserve">. </w:t>
      </w:r>
      <w:r w:rsidR="002B60FA">
        <w:rPr>
          <w:rFonts w:eastAsia="Arial Unicode MS"/>
          <w:snapToGrid/>
        </w:rPr>
        <w:t xml:space="preserve"> </w:t>
      </w:r>
      <w:r>
        <w:rPr>
          <w:rFonts w:eastAsia="Arial Unicode MS"/>
          <w:snapToGrid/>
        </w:rPr>
        <w:t xml:space="preserve">He learned of </w:t>
      </w:r>
      <w:proofErr w:type="spellStart"/>
      <w:r>
        <w:rPr>
          <w:rFonts w:eastAsia="Arial Unicode MS"/>
          <w:snapToGrid/>
        </w:rPr>
        <w:t>Zena’s</w:t>
      </w:r>
      <w:proofErr w:type="spellEnd"/>
      <w:r>
        <w:rPr>
          <w:rFonts w:eastAsia="Arial Unicode MS"/>
          <w:snapToGrid/>
        </w:rPr>
        <w:t xml:space="preserve"> birth while incarcerated.  When he was out of jail on parole, </w:t>
      </w:r>
      <w:r w:rsidR="002B60FA">
        <w:rPr>
          <w:rFonts w:eastAsia="Arial Unicode MS"/>
          <w:snapToGrid/>
        </w:rPr>
        <w:t>he</w:t>
      </w:r>
      <w:r>
        <w:rPr>
          <w:rFonts w:eastAsia="Arial Unicode MS"/>
          <w:snapToGrid/>
        </w:rPr>
        <w:t xml:space="preserve"> made no attempt to </w:t>
      </w:r>
      <w:r w:rsidR="002C2D9D">
        <w:rPr>
          <w:rFonts w:eastAsia="Arial Unicode MS"/>
          <w:snapToGrid/>
        </w:rPr>
        <w:t xml:space="preserve">establish his paternity or develop a relationship with </w:t>
      </w:r>
      <w:proofErr w:type="spellStart"/>
      <w:r w:rsidR="002C2D9D">
        <w:rPr>
          <w:rFonts w:eastAsia="Arial Unicode MS"/>
          <w:snapToGrid/>
        </w:rPr>
        <w:t>Zena</w:t>
      </w:r>
      <w:proofErr w:type="spellEnd"/>
      <w:r w:rsidR="002C2D9D">
        <w:rPr>
          <w:rFonts w:eastAsia="Arial Unicode MS"/>
          <w:snapToGrid/>
        </w:rPr>
        <w:t xml:space="preserve">. </w:t>
      </w:r>
      <w:r w:rsidR="002B60FA">
        <w:rPr>
          <w:rFonts w:eastAsia="Arial Unicode MS"/>
          <w:snapToGrid/>
        </w:rPr>
        <w:t xml:space="preserve"> </w:t>
      </w:r>
      <w:r w:rsidR="002C2D9D">
        <w:rPr>
          <w:rFonts w:eastAsia="Arial Unicode MS"/>
          <w:snapToGrid/>
        </w:rPr>
        <w:t xml:space="preserve">His only contact with </w:t>
      </w:r>
      <w:proofErr w:type="spellStart"/>
      <w:r w:rsidR="002C2D9D">
        <w:rPr>
          <w:rFonts w:eastAsia="Arial Unicode MS"/>
          <w:snapToGrid/>
        </w:rPr>
        <w:t>Zena</w:t>
      </w:r>
      <w:proofErr w:type="spellEnd"/>
      <w:r w:rsidR="002C2D9D">
        <w:rPr>
          <w:rFonts w:eastAsia="Arial Unicode MS"/>
          <w:snapToGrid/>
        </w:rPr>
        <w:t xml:space="preserve"> was when he appeared at the residential program where mother was residing with </w:t>
      </w:r>
      <w:proofErr w:type="spellStart"/>
      <w:r w:rsidR="002C2D9D">
        <w:rPr>
          <w:rFonts w:eastAsia="Arial Unicode MS"/>
          <w:snapToGrid/>
        </w:rPr>
        <w:t>Zena</w:t>
      </w:r>
      <w:proofErr w:type="spellEnd"/>
      <w:r w:rsidR="002C2D9D">
        <w:rPr>
          <w:rFonts w:eastAsia="Arial Unicode MS"/>
          <w:snapToGrid/>
        </w:rPr>
        <w:t xml:space="preserve"> and threatened </w:t>
      </w:r>
      <w:r w:rsidR="002B60FA">
        <w:rPr>
          <w:rFonts w:eastAsia="Arial Unicode MS"/>
          <w:snapToGrid/>
        </w:rPr>
        <w:t xml:space="preserve">the </w:t>
      </w:r>
      <w:r w:rsidR="002C2D9D">
        <w:rPr>
          <w:rFonts w:eastAsia="Arial Unicode MS"/>
          <w:snapToGrid/>
        </w:rPr>
        <w:t xml:space="preserve">mother. </w:t>
      </w:r>
      <w:r w:rsidR="002B60FA">
        <w:rPr>
          <w:rFonts w:eastAsia="Arial Unicode MS"/>
          <w:snapToGrid/>
        </w:rPr>
        <w:t xml:space="preserve"> </w:t>
      </w:r>
      <w:r w:rsidR="002C2D9D">
        <w:rPr>
          <w:rFonts w:eastAsia="Arial Unicode MS"/>
          <w:snapToGrid/>
        </w:rPr>
        <w:t xml:space="preserve">Shortly thereafter, DCF removed </w:t>
      </w:r>
      <w:proofErr w:type="spellStart"/>
      <w:r w:rsidR="002C2D9D">
        <w:rPr>
          <w:rFonts w:eastAsia="Arial Unicode MS"/>
          <w:snapToGrid/>
        </w:rPr>
        <w:t>Zena</w:t>
      </w:r>
      <w:proofErr w:type="spellEnd"/>
      <w:r w:rsidR="002C2D9D">
        <w:rPr>
          <w:rFonts w:eastAsia="Arial Unicode MS"/>
          <w:snapToGrid/>
        </w:rPr>
        <w:t xml:space="preserve"> from the mother’s custody. </w:t>
      </w:r>
      <w:r w:rsidR="002B60FA">
        <w:rPr>
          <w:rFonts w:eastAsia="Arial Unicode MS"/>
          <w:snapToGrid/>
        </w:rPr>
        <w:t xml:space="preserve"> </w:t>
      </w:r>
      <w:r w:rsidR="002C2D9D">
        <w:rPr>
          <w:rFonts w:eastAsia="Arial Unicode MS"/>
          <w:snapToGrid/>
        </w:rPr>
        <w:t xml:space="preserve">Although DCF was aware of </w:t>
      </w:r>
      <w:r w:rsidR="002B60FA">
        <w:rPr>
          <w:rFonts w:eastAsia="Arial Unicode MS"/>
          <w:snapToGrid/>
        </w:rPr>
        <w:t xml:space="preserve">the </w:t>
      </w:r>
      <w:r w:rsidR="002C2D9D">
        <w:rPr>
          <w:rFonts w:eastAsia="Arial Unicode MS"/>
          <w:snapToGrid/>
        </w:rPr>
        <w:t>father’s existence, it did not notify</w:t>
      </w:r>
      <w:r w:rsidR="002B60FA">
        <w:rPr>
          <w:rFonts w:eastAsia="Arial Unicode MS"/>
          <w:snapToGrid/>
        </w:rPr>
        <w:t xml:space="preserve"> him of the case until more than two years later.  The father </w:t>
      </w:r>
      <w:r w:rsidR="007B1C05">
        <w:rPr>
          <w:rFonts w:eastAsia="Arial Unicode MS"/>
          <w:snapToGrid/>
        </w:rPr>
        <w:t>appeared in the Juvenile Court at that time</w:t>
      </w:r>
      <w:r w:rsidR="002B60FA">
        <w:rPr>
          <w:rFonts w:eastAsia="Arial Unicode MS"/>
          <w:snapToGrid/>
        </w:rPr>
        <w:t xml:space="preserve"> and was adjudicated </w:t>
      </w:r>
      <w:proofErr w:type="spellStart"/>
      <w:r w:rsidR="002B60FA">
        <w:rPr>
          <w:rFonts w:eastAsia="Arial Unicode MS"/>
          <w:snapToGrid/>
        </w:rPr>
        <w:t>Zena’s</w:t>
      </w:r>
      <w:proofErr w:type="spellEnd"/>
      <w:r w:rsidR="002B60FA">
        <w:rPr>
          <w:rFonts w:eastAsia="Arial Unicode MS"/>
          <w:snapToGrid/>
        </w:rPr>
        <w:t xml:space="preserve"> father.  DCF offered him</w:t>
      </w:r>
      <w:r w:rsidR="007B1C05">
        <w:rPr>
          <w:rFonts w:eastAsia="Arial Unicode MS"/>
          <w:snapToGrid/>
        </w:rPr>
        <w:t xml:space="preserve"> a service plan</w:t>
      </w:r>
      <w:r w:rsidR="002B60FA">
        <w:rPr>
          <w:rFonts w:eastAsia="Arial Unicode MS"/>
          <w:snapToGrid/>
        </w:rPr>
        <w:t>, but he</w:t>
      </w:r>
      <w:r w:rsidR="007B1C05">
        <w:rPr>
          <w:rFonts w:eastAsia="Arial Unicode MS"/>
          <w:snapToGrid/>
        </w:rPr>
        <w:t xml:space="preserve"> refused</w:t>
      </w:r>
      <w:r w:rsidR="00687BEC">
        <w:rPr>
          <w:rFonts w:eastAsia="Arial Unicode MS"/>
          <w:snapToGrid/>
        </w:rPr>
        <w:t xml:space="preserve"> to cooperate. </w:t>
      </w:r>
      <w:r w:rsidR="002B60FA">
        <w:rPr>
          <w:rFonts w:eastAsia="Arial Unicode MS"/>
          <w:snapToGrid/>
        </w:rPr>
        <w:t xml:space="preserve"> He later represented himself at a seven-day trial.</w:t>
      </w:r>
    </w:p>
    <w:p w:rsidR="00814E84" w:rsidRDefault="00814E84" w:rsidP="00455861">
      <w:pPr>
        <w:rPr>
          <w:rFonts w:eastAsia="Arial Unicode MS"/>
          <w:snapToGrid/>
        </w:rPr>
      </w:pPr>
    </w:p>
    <w:p w:rsidR="001A42E5" w:rsidRPr="00455861" w:rsidRDefault="002B60FA" w:rsidP="00455861">
      <w:pPr>
        <w:rPr>
          <w:snapToGrid/>
        </w:rPr>
      </w:pPr>
      <w:r>
        <w:rPr>
          <w:rFonts w:eastAsia="Arial Unicode MS"/>
          <w:snapToGrid/>
        </w:rPr>
        <w:lastRenderedPageBreak/>
        <w:t xml:space="preserve">According to the panel, DCF’s delay in notifying the father did not prejudice him and did not, therefore, violate his due process rights.  </w:t>
      </w:r>
      <w:r w:rsidR="007B1C05">
        <w:rPr>
          <w:rFonts w:eastAsia="Arial Unicode MS"/>
          <w:snapToGrid/>
        </w:rPr>
        <w:t>Al</w:t>
      </w:r>
      <w:r w:rsidR="00687BEC">
        <w:rPr>
          <w:rFonts w:eastAsia="Arial Unicode MS"/>
          <w:snapToGrid/>
        </w:rPr>
        <w:t xml:space="preserve">though DCF could have located the father sooner and failed to follow its own standards, </w:t>
      </w:r>
      <w:r>
        <w:rPr>
          <w:rFonts w:eastAsia="Arial Unicode MS"/>
          <w:snapToGrid/>
        </w:rPr>
        <w:t>the father could show no</w:t>
      </w:r>
      <w:r w:rsidR="00687BEC">
        <w:rPr>
          <w:rFonts w:eastAsia="Arial Unicode MS"/>
          <w:snapToGrid/>
        </w:rPr>
        <w:t xml:space="preserve"> prejudice. </w:t>
      </w:r>
      <w:r>
        <w:rPr>
          <w:rFonts w:eastAsia="Arial Unicode MS"/>
          <w:snapToGrid/>
        </w:rPr>
        <w:t xml:space="preserve"> </w:t>
      </w:r>
      <w:r w:rsidR="00494973">
        <w:rPr>
          <w:rFonts w:eastAsia="Arial Unicode MS"/>
          <w:snapToGrid/>
        </w:rPr>
        <w:t xml:space="preserve">He had many months to prepare for trial, had access to all of DCF’s exhibits, and fully participated at trial.  </w:t>
      </w:r>
      <w:r>
        <w:rPr>
          <w:rFonts w:eastAsia="Arial Unicode MS"/>
          <w:snapToGrid/>
        </w:rPr>
        <w:t xml:space="preserve">The father was afforded all the process he was due </w:t>
      </w:r>
      <w:r w:rsidR="00687BEC">
        <w:rPr>
          <w:rFonts w:eastAsia="Arial Unicode MS"/>
          <w:snapToGrid/>
        </w:rPr>
        <w:t>once he became involved in the proceedings.</w:t>
      </w:r>
      <w:r>
        <w:rPr>
          <w:rFonts w:eastAsia="Arial Unicode MS"/>
          <w:snapToGrid/>
        </w:rPr>
        <w:t xml:space="preserve">  </w:t>
      </w:r>
    </w:p>
    <w:p w:rsidR="001A42E5" w:rsidRPr="001A42E5" w:rsidRDefault="001A42E5" w:rsidP="001A42E5">
      <w:pPr>
        <w:widowControl/>
        <w:rPr>
          <w:snapToGrid/>
          <w:color w:val="000000"/>
          <w:szCs w:val="24"/>
        </w:rPr>
      </w:pPr>
    </w:p>
    <w:p w:rsidR="001A42E5" w:rsidRPr="001A42E5" w:rsidRDefault="00597D82" w:rsidP="001A42E5">
      <w:pPr>
        <w:widowControl/>
        <w:rPr>
          <w:b/>
          <w:bCs/>
          <w:snapToGrid/>
          <w:color w:val="000000"/>
          <w:szCs w:val="24"/>
        </w:rPr>
      </w:pPr>
      <w:r>
        <w:rPr>
          <w:rFonts w:eastAsia="Arial Unicode MS" w:hAnsi="Arial Unicode MS" w:cs="Arial Unicode MS"/>
          <w:b/>
          <w:bCs/>
          <w:snapToGrid/>
          <w:color w:val="000000"/>
          <w:szCs w:val="24"/>
        </w:rPr>
        <w:t>8</w:t>
      </w:r>
      <w:r w:rsidR="00455861">
        <w:rPr>
          <w:rFonts w:eastAsia="Arial Unicode MS" w:hAnsi="Arial Unicode MS" w:cs="Arial Unicode MS"/>
          <w:b/>
          <w:bCs/>
          <w:snapToGrid/>
          <w:color w:val="000000"/>
          <w:szCs w:val="24"/>
        </w:rPr>
        <w:t>.</w:t>
      </w:r>
      <w:r w:rsidR="00455861">
        <w:rPr>
          <w:rFonts w:eastAsia="Arial Unicode MS" w:hAnsi="Arial Unicode MS" w:cs="Arial Unicode MS"/>
          <w:b/>
          <w:bCs/>
          <w:snapToGrid/>
          <w:color w:val="000000"/>
          <w:szCs w:val="24"/>
        </w:rPr>
        <w:tab/>
      </w:r>
      <w:r w:rsidR="001A42E5" w:rsidRPr="001A42E5">
        <w:rPr>
          <w:rFonts w:eastAsia="Arial Unicode MS" w:hAnsi="Arial Unicode MS" w:cs="Arial Unicode MS"/>
          <w:b/>
          <w:bCs/>
          <w:snapToGrid/>
          <w:color w:val="000000"/>
          <w:szCs w:val="24"/>
          <w:u w:val="single"/>
        </w:rPr>
        <w:t>Adoption of Amanda</w:t>
      </w:r>
      <w:r w:rsidR="001A42E5" w:rsidRPr="001A42E5">
        <w:rPr>
          <w:rFonts w:eastAsia="Arial Unicode MS" w:hAnsi="Arial Unicode MS" w:cs="Arial Unicode MS"/>
          <w:b/>
          <w:bCs/>
          <w:snapToGrid/>
          <w:color w:val="000000"/>
          <w:szCs w:val="24"/>
        </w:rPr>
        <w:t>, 87 Mass. App. Ct. 1138, No. 14-P-1281 (July 30, 2015).</w:t>
      </w:r>
    </w:p>
    <w:p w:rsidR="00A3461E" w:rsidRDefault="00A3461E" w:rsidP="00814E84">
      <w:pPr>
        <w:pStyle w:val="NoSpacing"/>
        <w:rPr>
          <w:rFonts w:eastAsia="Arial Unicode MS"/>
          <w:snapToGrid/>
        </w:rPr>
      </w:pPr>
      <w:r>
        <w:rPr>
          <w:rFonts w:eastAsia="Arial Unicode MS"/>
          <w:snapToGrid/>
        </w:rPr>
        <w:t xml:space="preserve">This is a great competing plan case.  The Appeals Court emphasized the importance of the ages, preferences, and circumstances of older children when considering which plan is in their best interests.  In </w:t>
      </w:r>
      <w:r w:rsidRPr="00C53751">
        <w:rPr>
          <w:rFonts w:eastAsia="Arial Unicode MS"/>
          <w:snapToGrid/>
          <w:u w:val="single"/>
        </w:rPr>
        <w:t>Amanda</w:t>
      </w:r>
      <w:r>
        <w:rPr>
          <w:rFonts w:eastAsia="Arial Unicode MS"/>
          <w:snapToGrid/>
        </w:rPr>
        <w:t>, the older children, Amanda and Beth, argued that the judge erred in approving DCF’s plan for adoption by their foster parents over their plan of placement with their maternal grandmother.  The Appeals Court agreed:</w:t>
      </w:r>
    </w:p>
    <w:p w:rsidR="004B4CFA" w:rsidRDefault="004B4CFA" w:rsidP="00814E84">
      <w:pPr>
        <w:pStyle w:val="NoSpacing"/>
        <w:rPr>
          <w:rFonts w:eastAsia="Arial Unicode MS"/>
          <w:snapToGrid/>
        </w:rPr>
      </w:pPr>
    </w:p>
    <w:p w:rsidR="004B4CFA" w:rsidRDefault="004B4CFA" w:rsidP="002743A3">
      <w:pPr>
        <w:pStyle w:val="NoSpacing"/>
        <w:ind w:left="720" w:right="720"/>
        <w:rPr>
          <w:rFonts w:eastAsia="Arial Unicode MS"/>
          <w:snapToGrid/>
          <w:color w:val="1F497D" w:themeColor="text2"/>
        </w:rPr>
      </w:pPr>
      <w:r>
        <w:rPr>
          <w:rFonts w:eastAsia="Arial Unicode MS"/>
          <w:snapToGrid/>
          <w:color w:val="1F497D" w:themeColor="text2"/>
        </w:rPr>
        <w:t>With respect to the best interests of children, at issue in determining the proper placement</w:t>
      </w:r>
      <w:r w:rsidR="00A3461E">
        <w:rPr>
          <w:rFonts w:eastAsia="Arial Unicode MS"/>
          <w:snapToGrid/>
          <w:color w:val="1F497D" w:themeColor="text2"/>
        </w:rPr>
        <w:t xml:space="preserve"> . . .,</w:t>
      </w:r>
      <w:r>
        <w:rPr>
          <w:rFonts w:eastAsia="Arial Unicode MS"/>
          <w:snapToGrid/>
          <w:color w:val="1F497D" w:themeColor="text2"/>
        </w:rPr>
        <w:t xml:space="preserve"> the judge was required to assess the significance of the fact that Amanda and Beth are unlikely to be, and oppose being, adopted. </w:t>
      </w:r>
      <w:r w:rsidR="00A3461E">
        <w:rPr>
          <w:rFonts w:eastAsia="Arial Unicode MS"/>
          <w:snapToGrid/>
          <w:color w:val="1F497D" w:themeColor="text2"/>
        </w:rPr>
        <w:t xml:space="preserve"> </w:t>
      </w:r>
      <w:r>
        <w:rPr>
          <w:rFonts w:eastAsia="Arial Unicode MS"/>
          <w:snapToGrid/>
          <w:color w:val="1F497D" w:themeColor="text2"/>
        </w:rPr>
        <w:t xml:space="preserve">[Citations omitted.] </w:t>
      </w:r>
      <w:r w:rsidR="00A5373A">
        <w:rPr>
          <w:rFonts w:eastAsia="Arial Unicode MS"/>
          <w:snapToGrid/>
          <w:color w:val="1F497D" w:themeColor="text2"/>
        </w:rPr>
        <w:t xml:space="preserve"> </w:t>
      </w:r>
      <w:r w:rsidR="00A3461E">
        <w:rPr>
          <w:rFonts w:eastAsia="Arial Unicode MS"/>
          <w:snapToGrid/>
          <w:color w:val="1F497D" w:themeColor="text2"/>
        </w:rPr>
        <w:t xml:space="preserve"> </w:t>
      </w:r>
      <w:r>
        <w:rPr>
          <w:rFonts w:eastAsia="Arial Unicode MS"/>
          <w:snapToGrid/>
          <w:color w:val="1F497D" w:themeColor="text2"/>
        </w:rPr>
        <w:t>This is especially so when at trial</w:t>
      </w:r>
      <w:r w:rsidR="00A3461E">
        <w:rPr>
          <w:rFonts w:eastAsia="Arial Unicode MS"/>
          <w:snapToGrid/>
          <w:color w:val="1F497D" w:themeColor="text2"/>
        </w:rPr>
        <w:t xml:space="preserve"> . . . </w:t>
      </w:r>
      <w:r>
        <w:rPr>
          <w:rFonts w:eastAsia="Arial Unicode MS"/>
          <w:snapToGrid/>
          <w:color w:val="1F497D" w:themeColor="text2"/>
        </w:rPr>
        <w:t xml:space="preserve">Amanda was eleven years old and Beth was ten years old, and on remand at least one of them will be old enough to block an unwanted adoption. </w:t>
      </w:r>
      <w:r w:rsidR="00A3461E">
        <w:rPr>
          <w:rFonts w:eastAsia="Arial Unicode MS"/>
          <w:snapToGrid/>
          <w:color w:val="1F497D" w:themeColor="text2"/>
        </w:rPr>
        <w:t xml:space="preserve"> </w:t>
      </w:r>
      <w:r>
        <w:rPr>
          <w:rFonts w:eastAsia="Arial Unicode MS"/>
          <w:snapToGrid/>
          <w:color w:val="1F497D" w:themeColor="text2"/>
        </w:rPr>
        <w:t>[Citations omitted.]</w:t>
      </w:r>
    </w:p>
    <w:p w:rsidR="004B4CFA" w:rsidRDefault="004B4CFA" w:rsidP="00814E84">
      <w:pPr>
        <w:pStyle w:val="NoSpacing"/>
        <w:rPr>
          <w:rFonts w:eastAsia="Arial Unicode MS"/>
          <w:snapToGrid/>
        </w:rPr>
      </w:pPr>
    </w:p>
    <w:p w:rsidR="004B4CFA" w:rsidRDefault="00A3461E" w:rsidP="00814E84">
      <w:pPr>
        <w:pStyle w:val="NoSpacing"/>
        <w:rPr>
          <w:rFonts w:eastAsia="Arial Unicode MS"/>
          <w:snapToGrid/>
        </w:rPr>
      </w:pPr>
      <w:r>
        <w:rPr>
          <w:rFonts w:eastAsia="Arial Unicode MS"/>
          <w:snapToGrid/>
        </w:rPr>
        <w:t xml:space="preserve">The panel also noted the judge’s failure to make findings on the girls’ instability, lack of treatment, and academic deterioration while in DCF’s custody.  The panel further criticized DCF’s position that the grandmother was an inappropriate placement because she had a fourteen- year-old outstanding warrant for resisting arrest; this, the panel suggested, should not be an absolute bar to consideration of her as a placement resource.  </w:t>
      </w:r>
      <w:r w:rsidR="004B4CFA">
        <w:rPr>
          <w:rFonts w:eastAsia="Arial Unicode MS"/>
          <w:snapToGrid/>
        </w:rPr>
        <w:t>As a result, the panel vacated the portions of the decrees approving DCF’s proposed adoption plan</w:t>
      </w:r>
      <w:r>
        <w:rPr>
          <w:rFonts w:eastAsia="Arial Unicode MS"/>
          <w:snapToGrid/>
        </w:rPr>
        <w:t>s</w:t>
      </w:r>
      <w:r w:rsidR="004B4CFA">
        <w:rPr>
          <w:rFonts w:eastAsia="Arial Unicode MS"/>
          <w:snapToGrid/>
        </w:rPr>
        <w:t xml:space="preserve"> </w:t>
      </w:r>
      <w:r>
        <w:rPr>
          <w:rFonts w:eastAsia="Arial Unicode MS"/>
          <w:snapToGrid/>
        </w:rPr>
        <w:t>and remanded for further proceedings on the choice of plan</w:t>
      </w:r>
      <w:r w:rsidR="004B4CFA">
        <w:rPr>
          <w:rFonts w:eastAsia="Arial Unicode MS"/>
          <w:snapToGrid/>
        </w:rPr>
        <w:t>.</w:t>
      </w:r>
    </w:p>
    <w:p w:rsidR="004B4CFA" w:rsidRDefault="004B4CFA" w:rsidP="00814E84">
      <w:pPr>
        <w:pStyle w:val="NoSpacing"/>
        <w:rPr>
          <w:rFonts w:eastAsia="Arial Unicode MS"/>
          <w:snapToGrid/>
        </w:rPr>
      </w:pPr>
    </w:p>
    <w:p w:rsidR="00EF2CEF" w:rsidRPr="004A5A2C" w:rsidRDefault="00EF2CEF" w:rsidP="007D1895">
      <w:pPr>
        <w:tabs>
          <w:tab w:val="left" w:pos="720"/>
        </w:tabs>
        <w:rPr>
          <w:bCs/>
          <w:color w:val="000000"/>
        </w:rPr>
      </w:pPr>
    </w:p>
    <w:p w:rsidR="00893D55" w:rsidRDefault="00893D55" w:rsidP="007D1895">
      <w:pPr>
        <w:pStyle w:val="ListParagraph"/>
        <w:tabs>
          <w:tab w:val="left" w:pos="720"/>
        </w:tabs>
        <w:ind w:left="0"/>
        <w:rPr>
          <w:b/>
          <w:bCs/>
          <w:color w:val="000000"/>
          <w:u w:val="single"/>
        </w:rPr>
      </w:pPr>
      <w:r>
        <w:rPr>
          <w:b/>
          <w:bCs/>
          <w:color w:val="000000"/>
          <w:u w:val="single"/>
        </w:rPr>
        <w:t>Writing Tips</w:t>
      </w:r>
    </w:p>
    <w:p w:rsidR="008F3B04" w:rsidRDefault="008F3B04" w:rsidP="007D1895">
      <w:pPr>
        <w:pStyle w:val="ListParagraph"/>
        <w:tabs>
          <w:tab w:val="left" w:pos="720"/>
        </w:tabs>
        <w:ind w:left="0"/>
        <w:rPr>
          <w:b/>
          <w:bCs/>
          <w:color w:val="000000"/>
          <w:u w:val="single"/>
        </w:rPr>
      </w:pPr>
    </w:p>
    <w:p w:rsidR="00247963" w:rsidRPr="00300357" w:rsidRDefault="00247963" w:rsidP="007D1895">
      <w:pPr>
        <w:pStyle w:val="ListParagraph"/>
        <w:widowControl/>
        <w:numPr>
          <w:ilvl w:val="0"/>
          <w:numId w:val="7"/>
        </w:numPr>
        <w:spacing w:after="200"/>
        <w:rPr>
          <w:rFonts w:eastAsia="Calibri"/>
          <w:b/>
          <w:snapToGrid/>
          <w:szCs w:val="24"/>
        </w:rPr>
      </w:pPr>
      <w:r w:rsidRPr="00300357">
        <w:rPr>
          <w:rFonts w:eastAsia="Calibri"/>
          <w:b/>
          <w:snapToGrid/>
          <w:szCs w:val="24"/>
        </w:rPr>
        <w:t>Commas</w:t>
      </w:r>
    </w:p>
    <w:p w:rsidR="00247963" w:rsidRPr="00247963" w:rsidRDefault="00247963" w:rsidP="007D1895">
      <w:pPr>
        <w:widowControl/>
        <w:spacing w:after="200"/>
        <w:rPr>
          <w:rFonts w:eastAsia="Calibri"/>
          <w:snapToGrid/>
          <w:szCs w:val="24"/>
        </w:rPr>
      </w:pPr>
      <w:r w:rsidRPr="00247963">
        <w:rPr>
          <w:rFonts w:eastAsia="Calibri"/>
          <w:snapToGrid/>
          <w:szCs w:val="24"/>
        </w:rPr>
        <w:t xml:space="preserve">Put commas before </w:t>
      </w:r>
      <w:r w:rsidRPr="00AE09AE">
        <w:rPr>
          <w:rFonts w:eastAsia="Calibri"/>
          <w:i/>
          <w:snapToGrid/>
          <w:szCs w:val="24"/>
        </w:rPr>
        <w:t>and</w:t>
      </w:r>
      <w:r w:rsidRPr="00247963">
        <w:rPr>
          <w:rFonts w:eastAsia="Calibri"/>
          <w:snapToGrid/>
          <w:szCs w:val="24"/>
        </w:rPr>
        <w:t xml:space="preserve"> after appositives (words or phrases that rename, explain, or describe a prior noun):</w:t>
      </w:r>
    </w:p>
    <w:p w:rsidR="00247963" w:rsidRPr="00247963" w:rsidRDefault="00247963" w:rsidP="007D1895">
      <w:pPr>
        <w:widowControl/>
        <w:numPr>
          <w:ilvl w:val="0"/>
          <w:numId w:val="2"/>
        </w:numPr>
        <w:spacing w:after="200"/>
        <w:rPr>
          <w:rFonts w:eastAsia="Calibri"/>
          <w:snapToGrid/>
          <w:szCs w:val="24"/>
        </w:rPr>
      </w:pPr>
      <w:r w:rsidRPr="00247963">
        <w:rPr>
          <w:rFonts w:eastAsia="Calibri"/>
          <w:snapToGrid/>
          <w:szCs w:val="24"/>
        </w:rPr>
        <w:t xml:space="preserve">MaryAnn </w:t>
      </w:r>
      <w:proofErr w:type="spellStart"/>
      <w:r w:rsidRPr="00247963">
        <w:rPr>
          <w:rFonts w:eastAsia="Calibri"/>
          <w:snapToGrid/>
          <w:szCs w:val="24"/>
        </w:rPr>
        <w:t>LeStrange</w:t>
      </w:r>
      <w:proofErr w:type="spellEnd"/>
      <w:r w:rsidRPr="00247963">
        <w:rPr>
          <w:rFonts w:eastAsia="Calibri"/>
          <w:snapToGrid/>
          <w:szCs w:val="24"/>
        </w:rPr>
        <w:t>, Ricardo’s DCF adoption worker, never visited him at the foster home.</w:t>
      </w:r>
    </w:p>
    <w:p w:rsidR="00247963" w:rsidRPr="00247963" w:rsidRDefault="00247963" w:rsidP="007D1895">
      <w:pPr>
        <w:widowControl/>
        <w:numPr>
          <w:ilvl w:val="0"/>
          <w:numId w:val="2"/>
        </w:numPr>
        <w:spacing w:after="200"/>
        <w:rPr>
          <w:rFonts w:eastAsia="Calibri"/>
          <w:snapToGrid/>
          <w:szCs w:val="24"/>
        </w:rPr>
      </w:pPr>
      <w:r w:rsidRPr="00247963">
        <w:rPr>
          <w:rFonts w:eastAsia="Calibri"/>
          <w:snapToGrid/>
          <w:szCs w:val="24"/>
        </w:rPr>
        <w:t>Robert S., Mother’s first husband, was convicted of sexually abusing his daughter in 2008.</w:t>
      </w:r>
    </w:p>
    <w:p w:rsidR="00247963" w:rsidRPr="00247963" w:rsidRDefault="00247963" w:rsidP="007D1895">
      <w:pPr>
        <w:widowControl/>
        <w:numPr>
          <w:ilvl w:val="0"/>
          <w:numId w:val="2"/>
        </w:numPr>
        <w:spacing w:after="200"/>
        <w:rPr>
          <w:rFonts w:eastAsia="Calibri"/>
          <w:snapToGrid/>
          <w:szCs w:val="24"/>
        </w:rPr>
      </w:pPr>
      <w:r w:rsidRPr="00247963">
        <w:rPr>
          <w:rFonts w:eastAsia="Calibri"/>
          <w:snapToGrid/>
          <w:szCs w:val="24"/>
        </w:rPr>
        <w:t>Lisa Smith, Mother’s neighbor who filed a § 51A report on Mother on April 4, 2013, petitioned for guardianship on April 6, 2013.</w:t>
      </w:r>
    </w:p>
    <w:p w:rsidR="00247963" w:rsidRPr="00247963" w:rsidRDefault="00247963" w:rsidP="007D1895">
      <w:pPr>
        <w:widowControl/>
        <w:spacing w:after="200"/>
        <w:rPr>
          <w:rFonts w:eastAsia="Calibri"/>
          <w:snapToGrid/>
          <w:szCs w:val="24"/>
        </w:rPr>
      </w:pPr>
      <w:r w:rsidRPr="00247963">
        <w:rPr>
          <w:rFonts w:eastAsia="Calibri"/>
          <w:snapToGrid/>
          <w:szCs w:val="24"/>
        </w:rPr>
        <w:t>If your appositive has a defined term or date of birth in parentheses</w:t>
      </w:r>
      <w:r>
        <w:rPr>
          <w:rFonts w:eastAsia="Calibri"/>
          <w:snapToGrid/>
          <w:szCs w:val="24"/>
        </w:rPr>
        <w:t>, p</w:t>
      </w:r>
      <w:r w:rsidRPr="00247963">
        <w:rPr>
          <w:rFonts w:eastAsia="Calibri"/>
          <w:snapToGrid/>
          <w:szCs w:val="24"/>
        </w:rPr>
        <w:t>ut the comma after the closing parenthesis:</w:t>
      </w:r>
    </w:p>
    <w:p w:rsidR="00247963" w:rsidRPr="00247963" w:rsidRDefault="00247963" w:rsidP="007D1895">
      <w:pPr>
        <w:widowControl/>
        <w:numPr>
          <w:ilvl w:val="1"/>
          <w:numId w:val="1"/>
        </w:numPr>
        <w:spacing w:after="200"/>
        <w:ind w:left="720"/>
        <w:rPr>
          <w:rFonts w:eastAsia="Calibri"/>
          <w:snapToGrid/>
          <w:szCs w:val="24"/>
        </w:rPr>
      </w:pPr>
      <w:r w:rsidRPr="00247963">
        <w:rPr>
          <w:rFonts w:eastAsia="Calibri"/>
          <w:snapToGrid/>
          <w:szCs w:val="24"/>
        </w:rPr>
        <w:lastRenderedPageBreak/>
        <w:t>The father, Robert S. (“Father”), has lived in Lowell his entire life.</w:t>
      </w:r>
    </w:p>
    <w:p w:rsidR="00247963" w:rsidRPr="00247963" w:rsidRDefault="00247963" w:rsidP="007D1895">
      <w:pPr>
        <w:widowControl/>
        <w:numPr>
          <w:ilvl w:val="1"/>
          <w:numId w:val="1"/>
        </w:numPr>
        <w:spacing w:after="200"/>
        <w:ind w:left="720"/>
        <w:rPr>
          <w:rFonts w:eastAsia="Calibri"/>
          <w:snapToGrid/>
          <w:szCs w:val="24"/>
        </w:rPr>
      </w:pPr>
      <w:r w:rsidRPr="00247963">
        <w:rPr>
          <w:rFonts w:eastAsia="Calibri"/>
          <w:snapToGrid/>
          <w:szCs w:val="24"/>
        </w:rPr>
        <w:t>Mother took the younger children, Carol R. (d/o/b 11/4/2011) and Michael D. (d/o/b 9/1/2013), with her to Pittsfield in May 2014.</w:t>
      </w:r>
    </w:p>
    <w:p w:rsidR="00247963" w:rsidRPr="00247963" w:rsidRDefault="00247963" w:rsidP="007D1895">
      <w:pPr>
        <w:widowControl/>
        <w:spacing w:after="200"/>
        <w:rPr>
          <w:rFonts w:eastAsia="Calibri"/>
          <w:snapToGrid/>
          <w:szCs w:val="24"/>
        </w:rPr>
      </w:pPr>
      <w:r w:rsidRPr="00247963">
        <w:rPr>
          <w:rFonts w:eastAsia="Calibri"/>
          <w:snapToGrid/>
          <w:szCs w:val="24"/>
        </w:rPr>
        <w:t>Put commas between two independent clauses (that is, when the second clause has a new subject or the old subject is re-stated).  The only exception is when the two independent clauses are very short and related.  Do not put commas between an independent clause and a dependent clause that share the same subject:</w:t>
      </w:r>
    </w:p>
    <w:p w:rsidR="00247963" w:rsidRPr="00247963" w:rsidRDefault="00247963" w:rsidP="007D1895">
      <w:pPr>
        <w:widowControl/>
        <w:numPr>
          <w:ilvl w:val="0"/>
          <w:numId w:val="3"/>
        </w:numPr>
        <w:spacing w:after="200"/>
        <w:rPr>
          <w:rFonts w:eastAsia="Calibri"/>
          <w:snapToGrid/>
          <w:szCs w:val="24"/>
        </w:rPr>
      </w:pPr>
      <w:r w:rsidRPr="00247963">
        <w:rPr>
          <w:rFonts w:eastAsia="Calibri"/>
          <w:snapToGrid/>
          <w:szCs w:val="24"/>
        </w:rPr>
        <w:t>Mother relapsed in April 2014, and Father relapsed the next month.</w:t>
      </w:r>
    </w:p>
    <w:p w:rsidR="00247963" w:rsidRPr="00247963" w:rsidRDefault="00247963" w:rsidP="007D1895">
      <w:pPr>
        <w:widowControl/>
        <w:numPr>
          <w:ilvl w:val="0"/>
          <w:numId w:val="3"/>
        </w:numPr>
        <w:spacing w:after="200"/>
        <w:rPr>
          <w:rFonts w:eastAsia="Calibri"/>
          <w:snapToGrid/>
          <w:szCs w:val="24"/>
        </w:rPr>
      </w:pPr>
      <w:r w:rsidRPr="00247963">
        <w:rPr>
          <w:rFonts w:eastAsia="Calibri"/>
          <w:snapToGrid/>
          <w:szCs w:val="24"/>
        </w:rPr>
        <w:t>Mother screamed obscenities at the social worker, and she then threatened her with a knife.</w:t>
      </w:r>
    </w:p>
    <w:p w:rsidR="00247963" w:rsidRPr="00247963" w:rsidRDefault="00247963" w:rsidP="007D1895">
      <w:pPr>
        <w:widowControl/>
        <w:numPr>
          <w:ilvl w:val="0"/>
          <w:numId w:val="3"/>
        </w:numPr>
        <w:spacing w:after="200"/>
        <w:rPr>
          <w:rFonts w:eastAsia="Calibri"/>
          <w:snapToGrid/>
          <w:szCs w:val="24"/>
        </w:rPr>
      </w:pPr>
      <w:r w:rsidRPr="00247963">
        <w:rPr>
          <w:rFonts w:eastAsia="Calibri"/>
          <w:snapToGrid/>
          <w:szCs w:val="24"/>
        </w:rPr>
        <w:t>Mother relapsed in April 2014 but was sober for a year after that.</w:t>
      </w:r>
    </w:p>
    <w:p w:rsidR="00247963" w:rsidRPr="00247963" w:rsidRDefault="00247963" w:rsidP="007D1895">
      <w:pPr>
        <w:widowControl/>
        <w:numPr>
          <w:ilvl w:val="0"/>
          <w:numId w:val="3"/>
        </w:numPr>
        <w:spacing w:after="200"/>
        <w:rPr>
          <w:rFonts w:eastAsia="Calibri"/>
          <w:snapToGrid/>
          <w:szCs w:val="24"/>
        </w:rPr>
      </w:pPr>
      <w:r w:rsidRPr="00247963">
        <w:rPr>
          <w:rFonts w:eastAsia="Calibri"/>
          <w:snapToGrid/>
          <w:szCs w:val="24"/>
        </w:rPr>
        <w:t>The DCF ongoing social worker repeatedly brought the children to visits late but never informed Mother.</w:t>
      </w:r>
    </w:p>
    <w:p w:rsidR="00247963" w:rsidRPr="00247963" w:rsidRDefault="00247963" w:rsidP="007D1895">
      <w:pPr>
        <w:widowControl/>
        <w:numPr>
          <w:ilvl w:val="0"/>
          <w:numId w:val="3"/>
        </w:numPr>
        <w:spacing w:after="200"/>
        <w:rPr>
          <w:rFonts w:eastAsia="Calibri"/>
          <w:snapToGrid/>
          <w:szCs w:val="24"/>
        </w:rPr>
      </w:pPr>
      <w:r w:rsidRPr="00247963">
        <w:rPr>
          <w:rFonts w:eastAsia="Calibri"/>
          <w:snapToGrid/>
          <w:szCs w:val="24"/>
        </w:rPr>
        <w:t>The DCF ongoing social worker repeatedly brought the children to visits late, but she never informed Mother.</w:t>
      </w:r>
    </w:p>
    <w:p w:rsidR="00247963" w:rsidRPr="00247963" w:rsidRDefault="00247963" w:rsidP="007D1895">
      <w:pPr>
        <w:widowControl/>
        <w:numPr>
          <w:ilvl w:val="0"/>
          <w:numId w:val="3"/>
        </w:numPr>
        <w:spacing w:after="200"/>
        <w:rPr>
          <w:rFonts w:eastAsia="Calibri"/>
          <w:snapToGrid/>
          <w:szCs w:val="24"/>
        </w:rPr>
      </w:pPr>
      <w:r w:rsidRPr="00247963">
        <w:rPr>
          <w:rFonts w:eastAsia="Calibri"/>
          <w:snapToGrid/>
          <w:szCs w:val="24"/>
        </w:rPr>
        <w:t>[This is the exception for very short, related independent clauses]  Father regularly abused heroin but Mother did not.</w:t>
      </w:r>
    </w:p>
    <w:p w:rsidR="00247963" w:rsidRPr="00247963" w:rsidRDefault="00247963" w:rsidP="007D1895">
      <w:pPr>
        <w:widowControl/>
        <w:spacing w:after="200"/>
        <w:rPr>
          <w:rFonts w:eastAsia="Calibri"/>
          <w:snapToGrid/>
          <w:szCs w:val="24"/>
        </w:rPr>
      </w:pPr>
      <w:r w:rsidRPr="00247963">
        <w:rPr>
          <w:rFonts w:eastAsia="Calibri"/>
          <w:snapToGrid/>
          <w:szCs w:val="24"/>
        </w:rPr>
        <w:t>If a dependent clause comes before an independent clause, use a comma between them:</w:t>
      </w:r>
    </w:p>
    <w:p w:rsidR="00247963" w:rsidRPr="00247963" w:rsidRDefault="00247963" w:rsidP="007D1895">
      <w:pPr>
        <w:widowControl/>
        <w:numPr>
          <w:ilvl w:val="0"/>
          <w:numId w:val="6"/>
        </w:numPr>
        <w:spacing w:after="200"/>
        <w:rPr>
          <w:rFonts w:eastAsia="Calibri"/>
          <w:snapToGrid/>
          <w:szCs w:val="24"/>
        </w:rPr>
      </w:pPr>
      <w:r w:rsidRPr="00247963">
        <w:rPr>
          <w:rFonts w:eastAsia="Calibri"/>
          <w:snapToGrid/>
          <w:szCs w:val="24"/>
        </w:rPr>
        <w:t>Although Mother regularly used cocaine, she always got the children to school on time.</w:t>
      </w:r>
    </w:p>
    <w:p w:rsidR="00247963" w:rsidRPr="00247963" w:rsidRDefault="00247963" w:rsidP="007D1895">
      <w:pPr>
        <w:widowControl/>
        <w:spacing w:after="200"/>
        <w:rPr>
          <w:rFonts w:eastAsia="Calibri"/>
          <w:snapToGrid/>
          <w:szCs w:val="24"/>
        </w:rPr>
      </w:pPr>
      <w:r w:rsidRPr="00247963">
        <w:rPr>
          <w:rFonts w:eastAsia="Calibri"/>
          <w:snapToGrid/>
          <w:szCs w:val="24"/>
        </w:rPr>
        <w:t>Introductory clauses usually take a comma:</w:t>
      </w:r>
    </w:p>
    <w:p w:rsidR="00247963" w:rsidRPr="00247963" w:rsidRDefault="00247963" w:rsidP="007D1895">
      <w:pPr>
        <w:widowControl/>
        <w:numPr>
          <w:ilvl w:val="0"/>
          <w:numId w:val="4"/>
        </w:numPr>
        <w:spacing w:after="200"/>
        <w:rPr>
          <w:rFonts w:eastAsia="Calibri"/>
          <w:snapToGrid/>
          <w:szCs w:val="24"/>
        </w:rPr>
      </w:pPr>
      <w:r w:rsidRPr="00247963">
        <w:rPr>
          <w:rFonts w:eastAsia="Calibri"/>
          <w:snapToGrid/>
          <w:szCs w:val="24"/>
        </w:rPr>
        <w:t>In January 2014, Mother wrote to her social worker and asked for more visits.</w:t>
      </w:r>
    </w:p>
    <w:p w:rsidR="00247963" w:rsidRPr="00247963" w:rsidRDefault="00247963" w:rsidP="007D1895">
      <w:pPr>
        <w:widowControl/>
        <w:numPr>
          <w:ilvl w:val="0"/>
          <w:numId w:val="4"/>
        </w:numPr>
        <w:spacing w:after="200"/>
        <w:rPr>
          <w:rFonts w:eastAsia="Calibri"/>
          <w:snapToGrid/>
          <w:szCs w:val="24"/>
        </w:rPr>
      </w:pPr>
      <w:r w:rsidRPr="00247963">
        <w:rPr>
          <w:rFonts w:eastAsia="Calibri"/>
          <w:snapToGrid/>
          <w:szCs w:val="24"/>
        </w:rPr>
        <w:t>By that summer, Sally no longer wanted to see Father.</w:t>
      </w:r>
    </w:p>
    <w:p w:rsidR="00247963" w:rsidRPr="00247963" w:rsidRDefault="00247963" w:rsidP="007D1895">
      <w:pPr>
        <w:widowControl/>
        <w:spacing w:after="200"/>
        <w:rPr>
          <w:rFonts w:eastAsia="Calibri"/>
          <w:snapToGrid/>
          <w:szCs w:val="24"/>
        </w:rPr>
      </w:pPr>
      <w:proofErr w:type="gramStart"/>
      <w:r w:rsidRPr="00247963">
        <w:rPr>
          <w:rFonts w:eastAsia="Calibri"/>
          <w:snapToGrid/>
          <w:szCs w:val="24"/>
        </w:rPr>
        <w:t>It’s</w:t>
      </w:r>
      <w:proofErr w:type="gramEnd"/>
      <w:r w:rsidRPr="00247963">
        <w:rPr>
          <w:rFonts w:eastAsia="Calibri"/>
          <w:snapToGrid/>
          <w:szCs w:val="24"/>
        </w:rPr>
        <w:t xml:space="preserve"> fine to start a sentence with “And,” “But,” or “Yet.”  But don’t use a comma after any of them.</w:t>
      </w:r>
    </w:p>
    <w:p w:rsidR="00247963" w:rsidRPr="00247963" w:rsidRDefault="00247963" w:rsidP="007D1895">
      <w:pPr>
        <w:widowControl/>
        <w:numPr>
          <w:ilvl w:val="0"/>
          <w:numId w:val="5"/>
        </w:numPr>
        <w:spacing w:after="200"/>
        <w:rPr>
          <w:rFonts w:eastAsia="Calibri"/>
          <w:snapToGrid/>
          <w:szCs w:val="24"/>
        </w:rPr>
      </w:pPr>
      <w:r w:rsidRPr="00247963">
        <w:rPr>
          <w:rFonts w:eastAsia="Calibri"/>
          <w:snapToGrid/>
          <w:szCs w:val="24"/>
        </w:rPr>
        <w:t>Mother relapsed in January 2014.  But she did not use drugs after that.</w:t>
      </w:r>
    </w:p>
    <w:p w:rsidR="00247963" w:rsidRPr="00247963" w:rsidRDefault="00247963" w:rsidP="007D1895">
      <w:pPr>
        <w:widowControl/>
        <w:numPr>
          <w:ilvl w:val="0"/>
          <w:numId w:val="5"/>
        </w:numPr>
        <w:spacing w:after="200"/>
        <w:rPr>
          <w:rFonts w:eastAsia="Calibri"/>
          <w:snapToGrid/>
          <w:szCs w:val="24"/>
        </w:rPr>
      </w:pPr>
      <w:r w:rsidRPr="00247963">
        <w:rPr>
          <w:rFonts w:eastAsia="Calibri"/>
          <w:snapToGrid/>
          <w:szCs w:val="24"/>
        </w:rPr>
        <w:t>Father wrote to his social worker on March 9, 2014, asking for visits. And he followed that letter up with another one on March 20, 2014.</w:t>
      </w:r>
    </w:p>
    <w:p w:rsidR="00033908" w:rsidRDefault="00247963" w:rsidP="007D1895">
      <w:pPr>
        <w:widowControl/>
        <w:spacing w:after="200"/>
        <w:rPr>
          <w:rFonts w:eastAsia="Calibri"/>
          <w:snapToGrid/>
          <w:szCs w:val="24"/>
        </w:rPr>
      </w:pPr>
      <w:r w:rsidRPr="00247963">
        <w:rPr>
          <w:rFonts w:eastAsia="Calibri"/>
          <w:snapToGrid/>
          <w:szCs w:val="24"/>
        </w:rPr>
        <w:t>And don’t start a sentence with “however.”  Move it to the middle of a sentence and put commas on either side.</w:t>
      </w:r>
    </w:p>
    <w:p w:rsidR="00300357" w:rsidRDefault="00300357" w:rsidP="007D1895">
      <w:pPr>
        <w:pStyle w:val="ListParagraph"/>
        <w:widowControl/>
        <w:numPr>
          <w:ilvl w:val="0"/>
          <w:numId w:val="7"/>
        </w:numPr>
        <w:spacing w:after="200"/>
        <w:rPr>
          <w:rFonts w:eastAsia="Calibri"/>
          <w:b/>
          <w:snapToGrid/>
          <w:szCs w:val="24"/>
        </w:rPr>
      </w:pPr>
      <w:r>
        <w:rPr>
          <w:rFonts w:eastAsia="Calibri"/>
          <w:b/>
          <w:snapToGrid/>
          <w:szCs w:val="24"/>
        </w:rPr>
        <w:t>Argument Headers</w:t>
      </w:r>
    </w:p>
    <w:p w:rsidR="00300357" w:rsidRDefault="00AE09AE" w:rsidP="007D1895">
      <w:pPr>
        <w:widowControl/>
        <w:spacing w:after="200"/>
        <w:rPr>
          <w:rFonts w:eastAsia="Calibri"/>
          <w:snapToGrid/>
          <w:szCs w:val="24"/>
        </w:rPr>
      </w:pPr>
      <w:r>
        <w:rPr>
          <w:rFonts w:eastAsia="Calibri"/>
          <w:snapToGrid/>
          <w:szCs w:val="24"/>
        </w:rPr>
        <w:t>Bryan Garner, in an</w:t>
      </w:r>
      <w:r w:rsidR="00300357" w:rsidRPr="00300357">
        <w:rPr>
          <w:rFonts w:eastAsia="Calibri"/>
          <w:snapToGrid/>
          <w:szCs w:val="24"/>
        </w:rPr>
        <w:t xml:space="preserve"> </w:t>
      </w:r>
      <w:r>
        <w:rPr>
          <w:rFonts w:eastAsia="Calibri"/>
          <w:snapToGrid/>
          <w:szCs w:val="24"/>
        </w:rPr>
        <w:t xml:space="preserve">excerpt of his </w:t>
      </w:r>
      <w:r w:rsidR="00300357" w:rsidRPr="00300357">
        <w:rPr>
          <w:rFonts w:eastAsia="Calibri"/>
          <w:snapToGrid/>
          <w:szCs w:val="24"/>
        </w:rPr>
        <w:t xml:space="preserve">ABA Journal article below, explains how to draft good Argument headers.  He calls them “point headers,” but they are the same thing.  He writes that </w:t>
      </w:r>
      <w:r w:rsidR="00300357" w:rsidRPr="00300357">
        <w:rPr>
          <w:rFonts w:eastAsia="Calibri"/>
          <w:snapToGrid/>
          <w:szCs w:val="24"/>
        </w:rPr>
        <w:lastRenderedPageBreak/>
        <w:t>each header should be a complete, declarative sentence of 15 to 35 words (never two or three sentences – that’s only for the Issues Presented).  Headers should use normal capitalization, not all caps or initial caps.  They should be bold-faced in the text of the Argument, but not bold-f</w:t>
      </w:r>
      <w:r w:rsidR="00300357">
        <w:rPr>
          <w:rFonts w:eastAsia="Calibri"/>
          <w:snapToGrid/>
          <w:szCs w:val="24"/>
        </w:rPr>
        <w:t xml:space="preserve">aced in the Table of Contents.  </w:t>
      </w:r>
    </w:p>
    <w:p w:rsidR="00300357" w:rsidRDefault="00300357" w:rsidP="007D1895">
      <w:pPr>
        <w:widowControl/>
        <w:spacing w:after="200"/>
        <w:ind w:firstLine="720"/>
        <w:rPr>
          <w:rFonts w:eastAsia="Calibri"/>
          <w:b/>
          <w:snapToGrid/>
          <w:szCs w:val="24"/>
        </w:rPr>
      </w:pPr>
      <w:r w:rsidRPr="00300357">
        <w:rPr>
          <w:rFonts w:eastAsia="Calibri"/>
          <w:b/>
          <w:snapToGrid/>
          <w:szCs w:val="24"/>
        </w:rPr>
        <w:t>Good headings show you've thought out your arguments well in advance</w:t>
      </w:r>
    </w:p>
    <w:p w:rsidR="007D37F2" w:rsidRPr="00300357" w:rsidRDefault="007D37F2" w:rsidP="007D1895">
      <w:pPr>
        <w:widowControl/>
        <w:spacing w:after="200"/>
        <w:ind w:firstLine="720"/>
        <w:rPr>
          <w:rFonts w:eastAsia="Calibri"/>
          <w:b/>
          <w:snapToGrid/>
          <w:szCs w:val="24"/>
        </w:rPr>
      </w:pPr>
      <w:r>
        <w:rPr>
          <w:rFonts w:eastAsia="Calibri"/>
          <w:b/>
          <w:snapToGrid/>
          <w:szCs w:val="24"/>
        </w:rPr>
        <w:t>September 1, 2015</w:t>
      </w:r>
    </w:p>
    <w:p w:rsidR="00300357" w:rsidRPr="00300357" w:rsidRDefault="00300357" w:rsidP="007D1895">
      <w:pPr>
        <w:widowControl/>
        <w:spacing w:after="200"/>
        <w:ind w:firstLine="720"/>
        <w:rPr>
          <w:rFonts w:eastAsia="Calibri"/>
          <w:snapToGrid/>
          <w:szCs w:val="24"/>
        </w:rPr>
      </w:pPr>
      <w:r w:rsidRPr="00300357">
        <w:rPr>
          <w:rFonts w:eastAsia="Calibri"/>
          <w:snapToGrid/>
          <w:szCs w:val="24"/>
        </w:rPr>
        <w:t>By Bryan A. Garner</w:t>
      </w:r>
    </w:p>
    <w:p w:rsidR="00300357" w:rsidRPr="00300357" w:rsidRDefault="00300357" w:rsidP="007D1895">
      <w:pPr>
        <w:widowControl/>
        <w:spacing w:after="200"/>
        <w:ind w:left="720"/>
        <w:rPr>
          <w:rFonts w:eastAsia="Calibri"/>
          <w:snapToGrid/>
          <w:szCs w:val="24"/>
        </w:rPr>
      </w:pPr>
      <w:proofErr w:type="gramStart"/>
      <w:r w:rsidRPr="00300357">
        <w:rPr>
          <w:rFonts w:eastAsia="Calibri"/>
          <w:snapToGrid/>
          <w:szCs w:val="24"/>
        </w:rPr>
        <w:t>The most important part of a brief?</w:t>
      </w:r>
      <w:proofErr w:type="gramEnd"/>
      <w:r w:rsidRPr="00300357">
        <w:rPr>
          <w:rFonts w:eastAsia="Calibri"/>
          <w:snapToGrid/>
          <w:szCs w:val="24"/>
        </w:rPr>
        <w:t xml:space="preserve"> That depends on whom you ask. Some say the issue statements. Others say page 1 (which ought to amount to the same thing). Still others say the statement of facts. A few say the conclusion. But one of my favorite answers is the table of contents: Done right, it shows all the substantive point headings arrayed on one or two pages. Certainly those headings are the most important part of the argument section in a brief.</w:t>
      </w:r>
    </w:p>
    <w:p w:rsidR="00300357" w:rsidRPr="00300357" w:rsidRDefault="00AE09AE" w:rsidP="007D1895">
      <w:pPr>
        <w:widowControl/>
        <w:spacing w:after="200"/>
        <w:ind w:left="720"/>
        <w:rPr>
          <w:rFonts w:eastAsia="Calibri"/>
          <w:snapToGrid/>
          <w:szCs w:val="24"/>
        </w:rPr>
      </w:pPr>
      <w:r>
        <w:rPr>
          <w:rFonts w:eastAsia="Calibri"/>
          <w:snapToGrid/>
          <w:szCs w:val="24"/>
        </w:rPr>
        <w:t>. . . [L]</w:t>
      </w:r>
      <w:proofErr w:type="spellStart"/>
      <w:proofErr w:type="gramStart"/>
      <w:r w:rsidR="00300357" w:rsidRPr="00300357">
        <w:rPr>
          <w:rFonts w:eastAsia="Calibri"/>
          <w:snapToGrid/>
          <w:szCs w:val="24"/>
        </w:rPr>
        <w:t>et’s</w:t>
      </w:r>
      <w:proofErr w:type="spellEnd"/>
      <w:proofErr w:type="gramEnd"/>
      <w:r w:rsidR="00300357" w:rsidRPr="00300357">
        <w:rPr>
          <w:rFonts w:eastAsia="Calibri"/>
          <w:snapToGrid/>
          <w:szCs w:val="24"/>
        </w:rPr>
        <w:t xml:space="preserve"> define our terms. What’s a “point heading”? It’s a full-sentence proposition that advances a major premise (law) or a minor premise (fact), or sometimes both. Added together, the point headings should be a cohesive outline of your case. In any clear-headed view of written advocacy, point headings should be high on the list of priorities.</w:t>
      </w:r>
    </w:p>
    <w:p w:rsidR="00300357" w:rsidRPr="00300357" w:rsidRDefault="00AE09AE" w:rsidP="007D1895">
      <w:pPr>
        <w:widowControl/>
        <w:spacing w:after="200"/>
        <w:ind w:left="720"/>
        <w:rPr>
          <w:rFonts w:eastAsia="Calibri"/>
          <w:snapToGrid/>
          <w:szCs w:val="24"/>
        </w:rPr>
      </w:pPr>
      <w:r>
        <w:rPr>
          <w:rFonts w:eastAsia="Calibri"/>
          <w:snapToGrid/>
          <w:szCs w:val="24"/>
        </w:rPr>
        <w:t>. . .</w:t>
      </w:r>
    </w:p>
    <w:p w:rsidR="00300357" w:rsidRPr="00300357" w:rsidRDefault="00300357" w:rsidP="00AE09AE">
      <w:pPr>
        <w:widowControl/>
        <w:spacing w:after="200"/>
        <w:ind w:left="720"/>
        <w:rPr>
          <w:rFonts w:eastAsia="Calibri"/>
          <w:snapToGrid/>
          <w:szCs w:val="24"/>
        </w:rPr>
      </w:pPr>
      <w:r w:rsidRPr="00300357">
        <w:rPr>
          <w:rFonts w:eastAsia="Calibri"/>
          <w:snapToGrid/>
          <w:szCs w:val="24"/>
        </w:rPr>
        <w:t xml:space="preserve">Here are the basic guidelines you’ll generally see reflected in </w:t>
      </w:r>
      <w:r w:rsidR="00AE09AE">
        <w:rPr>
          <w:rFonts w:eastAsia="Calibri"/>
          <w:snapToGrid/>
          <w:szCs w:val="24"/>
        </w:rPr>
        <w:t>[excellent Solicitor General (SG)]</w:t>
      </w:r>
      <w:r w:rsidRPr="00300357">
        <w:rPr>
          <w:rFonts w:eastAsia="Calibri"/>
          <w:snapToGrid/>
          <w:szCs w:val="24"/>
        </w:rPr>
        <w:t xml:space="preserve"> briefs:</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xml:space="preserve">• All headings for points and </w:t>
      </w:r>
      <w:proofErr w:type="spellStart"/>
      <w:r w:rsidRPr="00300357">
        <w:rPr>
          <w:rFonts w:eastAsia="Calibri"/>
          <w:snapToGrid/>
          <w:szCs w:val="24"/>
        </w:rPr>
        <w:t>subpoints</w:t>
      </w:r>
      <w:proofErr w:type="spellEnd"/>
      <w:r w:rsidRPr="00300357">
        <w:rPr>
          <w:rFonts w:eastAsia="Calibri"/>
          <w:snapToGrid/>
          <w:szCs w:val="24"/>
        </w:rPr>
        <w:t xml:space="preserve"> are in complete declarative sentences varying in length from 15 to 35 words.</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Headings are typed as normal sentences (never in all-caps and especially never in all-initial-caps), boldfaced and single-spaced, in the body of the brief. (You’ll find some exceptions at the SG website. Ignore them.)</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Acronyms and initializations are disfavored—unless they’re well-known.</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If a case is mentioned in a point heading, its name is used without citation. (Footnotes are never appended to point headings.)</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In the brief’s table of contents, the point headings set forth a clear outline of the argument. They appear there with a cascading left-side indent to show the hierarchy of points. Nothing is in boldface in the table of contents.</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The headings move from major to minor premises (progressing from the law to the facts), and then to points in refutation.</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Up to three major points may take Roman numerals (I, II, III); if there is only one overarching point, it remains unnumbered.</w:t>
      </w:r>
    </w:p>
    <w:p w:rsidR="00300357" w:rsidRPr="00300357" w:rsidRDefault="00300357" w:rsidP="00A86CE6">
      <w:pPr>
        <w:widowControl/>
        <w:spacing w:after="200"/>
        <w:ind w:left="1260" w:hanging="180"/>
        <w:rPr>
          <w:rFonts w:eastAsia="Calibri"/>
          <w:snapToGrid/>
          <w:szCs w:val="24"/>
        </w:rPr>
      </w:pPr>
      <w:r w:rsidRPr="00300357">
        <w:rPr>
          <w:rFonts w:eastAsia="Calibri"/>
          <w:snapToGrid/>
          <w:szCs w:val="24"/>
        </w:rPr>
        <w:t xml:space="preserve">• </w:t>
      </w:r>
      <w:proofErr w:type="spellStart"/>
      <w:r w:rsidRPr="00300357">
        <w:rPr>
          <w:rFonts w:eastAsia="Calibri"/>
          <w:snapToGrid/>
          <w:szCs w:val="24"/>
        </w:rPr>
        <w:t>Subpoints</w:t>
      </w:r>
      <w:proofErr w:type="spellEnd"/>
      <w:r w:rsidRPr="00300357">
        <w:rPr>
          <w:rFonts w:eastAsia="Calibri"/>
          <w:snapToGrid/>
          <w:szCs w:val="24"/>
        </w:rPr>
        <w:t xml:space="preserve"> are marked by capital letters (A, B, C).</w:t>
      </w:r>
    </w:p>
    <w:p w:rsidR="00300357" w:rsidRPr="00300357" w:rsidRDefault="00300357" w:rsidP="007D1895">
      <w:pPr>
        <w:widowControl/>
        <w:spacing w:after="200"/>
        <w:ind w:left="720"/>
        <w:rPr>
          <w:rFonts w:eastAsia="Calibri"/>
          <w:snapToGrid/>
          <w:szCs w:val="24"/>
        </w:rPr>
      </w:pPr>
      <w:r w:rsidRPr="00300357">
        <w:rPr>
          <w:rFonts w:eastAsia="Calibri"/>
          <w:snapToGrid/>
          <w:szCs w:val="24"/>
        </w:rPr>
        <w:lastRenderedPageBreak/>
        <w:t>It’s possible to depict the SG’s practice—which in this instance is the best existing practice—through a rhetorical template. Good point headings predictably go something like this:</w:t>
      </w:r>
    </w:p>
    <w:p w:rsidR="00300357" w:rsidRPr="00300357" w:rsidRDefault="00543380" w:rsidP="007D1895">
      <w:pPr>
        <w:widowControl/>
        <w:spacing w:after="200"/>
        <w:ind w:left="720"/>
        <w:rPr>
          <w:rFonts w:eastAsia="Calibri"/>
          <w:snapToGrid/>
          <w:szCs w:val="24"/>
        </w:rPr>
      </w:pPr>
      <w:proofErr w:type="gramStart"/>
      <w:r>
        <w:rPr>
          <w:rFonts w:eastAsia="Calibri"/>
          <w:snapToGrid/>
          <w:szCs w:val="24"/>
        </w:rPr>
        <w:t>I. [Full-sentence conclusion.]</w:t>
      </w:r>
      <w:proofErr w:type="gramEnd"/>
      <w:r>
        <w:rPr>
          <w:rFonts w:eastAsia="Calibri"/>
          <w:snapToGrid/>
          <w:szCs w:val="24"/>
        </w:rPr>
        <w:t xml:space="preserve"> </w:t>
      </w:r>
    </w:p>
    <w:p w:rsidR="00300357" w:rsidRPr="00300357" w:rsidRDefault="00300357" w:rsidP="007D1895">
      <w:pPr>
        <w:widowControl/>
        <w:spacing w:after="200"/>
        <w:ind w:left="720" w:firstLine="720"/>
        <w:rPr>
          <w:rFonts w:eastAsia="Calibri"/>
          <w:snapToGrid/>
          <w:szCs w:val="24"/>
        </w:rPr>
      </w:pPr>
      <w:proofErr w:type="gramStart"/>
      <w:r w:rsidRPr="00300357">
        <w:rPr>
          <w:rFonts w:eastAsia="Calibri"/>
          <w:snapToGrid/>
          <w:szCs w:val="24"/>
        </w:rPr>
        <w:t>A. [Full-sentenc</w:t>
      </w:r>
      <w:r w:rsidR="00543380">
        <w:rPr>
          <w:rFonts w:eastAsia="Calibri"/>
          <w:snapToGrid/>
          <w:szCs w:val="24"/>
        </w:rPr>
        <w:t>e rationale.]</w:t>
      </w:r>
      <w:proofErr w:type="gramEnd"/>
      <w:r w:rsidR="00543380">
        <w:rPr>
          <w:rFonts w:eastAsia="Calibri"/>
          <w:snapToGrid/>
          <w:szCs w:val="24"/>
        </w:rPr>
        <w:t xml:space="preserve"> </w:t>
      </w:r>
    </w:p>
    <w:p w:rsidR="00300357" w:rsidRPr="00300357" w:rsidRDefault="00543380" w:rsidP="007D1895">
      <w:pPr>
        <w:widowControl/>
        <w:spacing w:after="200"/>
        <w:ind w:left="720" w:firstLine="720"/>
        <w:rPr>
          <w:rFonts w:eastAsia="Calibri"/>
          <w:snapToGrid/>
          <w:szCs w:val="24"/>
        </w:rPr>
      </w:pPr>
      <w:proofErr w:type="gramStart"/>
      <w:r>
        <w:rPr>
          <w:rFonts w:eastAsia="Calibri"/>
          <w:snapToGrid/>
          <w:szCs w:val="24"/>
        </w:rPr>
        <w:t>B. [Full-sentence rationale.]</w:t>
      </w:r>
      <w:proofErr w:type="gramEnd"/>
      <w:r>
        <w:rPr>
          <w:rFonts w:eastAsia="Calibri"/>
          <w:snapToGrid/>
          <w:szCs w:val="24"/>
        </w:rPr>
        <w:t xml:space="preserve"> </w:t>
      </w:r>
    </w:p>
    <w:p w:rsidR="00300357" w:rsidRPr="00300357" w:rsidRDefault="00300357" w:rsidP="007D1895">
      <w:pPr>
        <w:widowControl/>
        <w:spacing w:after="200"/>
        <w:ind w:left="720" w:firstLine="720"/>
        <w:rPr>
          <w:rFonts w:eastAsia="Calibri"/>
          <w:snapToGrid/>
          <w:szCs w:val="24"/>
        </w:rPr>
      </w:pPr>
      <w:r w:rsidRPr="00300357">
        <w:rPr>
          <w:rFonts w:eastAsia="Calibri"/>
          <w:snapToGrid/>
          <w:szCs w:val="24"/>
        </w:rPr>
        <w:t>C. [Opponent’s position on th</w:t>
      </w:r>
      <w:r w:rsidR="00543380">
        <w:rPr>
          <w:rFonts w:eastAsia="Calibri"/>
          <w:snapToGrid/>
          <w:szCs w:val="24"/>
        </w:rPr>
        <w:t xml:space="preserve">is point is wrong because </w:t>
      </w:r>
      <w:proofErr w:type="gramStart"/>
      <w:r w:rsidR="00543380">
        <w:rPr>
          <w:rFonts w:eastAsia="Calibri"/>
          <w:snapToGrid/>
          <w:szCs w:val="24"/>
        </w:rPr>
        <w:t>… .]</w:t>
      </w:r>
      <w:proofErr w:type="gramEnd"/>
      <w:r w:rsidR="00543380">
        <w:rPr>
          <w:rFonts w:eastAsia="Calibri"/>
          <w:snapToGrid/>
          <w:szCs w:val="24"/>
        </w:rPr>
        <w:t xml:space="preserve"> </w:t>
      </w:r>
    </w:p>
    <w:p w:rsidR="00300357" w:rsidRPr="00300357" w:rsidRDefault="00300357" w:rsidP="007D1895">
      <w:pPr>
        <w:widowControl/>
        <w:spacing w:after="200"/>
        <w:ind w:left="720"/>
        <w:rPr>
          <w:rFonts w:eastAsia="Calibri"/>
          <w:snapToGrid/>
          <w:szCs w:val="24"/>
        </w:rPr>
      </w:pPr>
      <w:r w:rsidRPr="00300357">
        <w:rPr>
          <w:rFonts w:eastAsia="Calibri"/>
          <w:snapToGrid/>
          <w:szCs w:val="24"/>
        </w:rPr>
        <w:t>I</w:t>
      </w:r>
      <w:r w:rsidR="00543380">
        <w:rPr>
          <w:rFonts w:eastAsia="Calibri"/>
          <w:snapToGrid/>
          <w:szCs w:val="24"/>
        </w:rPr>
        <w:t xml:space="preserve">I. [Full-sentence conclusion.] </w:t>
      </w:r>
    </w:p>
    <w:p w:rsidR="00300357" w:rsidRPr="00300357" w:rsidRDefault="00300357" w:rsidP="007D1895">
      <w:pPr>
        <w:widowControl/>
        <w:spacing w:after="200"/>
        <w:ind w:left="720" w:firstLine="720"/>
        <w:rPr>
          <w:rFonts w:eastAsia="Calibri"/>
          <w:snapToGrid/>
          <w:szCs w:val="24"/>
        </w:rPr>
      </w:pPr>
      <w:proofErr w:type="gramStart"/>
      <w:r w:rsidRPr="00300357">
        <w:rPr>
          <w:rFonts w:eastAsia="Calibri"/>
          <w:snapToGrid/>
          <w:szCs w:val="24"/>
        </w:rPr>
        <w:t>A. [Full-sentence rationale.]</w:t>
      </w:r>
      <w:proofErr w:type="gramEnd"/>
      <w:r w:rsidRPr="00300357">
        <w:rPr>
          <w:rFonts w:eastAsia="Calibri"/>
          <w:snapToGrid/>
          <w:szCs w:val="24"/>
        </w:rPr>
        <w:t xml:space="preserve"> </w:t>
      </w:r>
    </w:p>
    <w:p w:rsidR="00300357" w:rsidRPr="00300357" w:rsidRDefault="00300357" w:rsidP="007D1895">
      <w:pPr>
        <w:widowControl/>
        <w:spacing w:after="200"/>
        <w:ind w:left="720" w:firstLine="720"/>
        <w:rPr>
          <w:rFonts w:eastAsia="Calibri"/>
          <w:snapToGrid/>
          <w:szCs w:val="24"/>
        </w:rPr>
      </w:pPr>
      <w:proofErr w:type="gramStart"/>
      <w:r w:rsidRPr="00300357">
        <w:rPr>
          <w:rFonts w:eastAsia="Calibri"/>
          <w:snapToGrid/>
          <w:szCs w:val="24"/>
        </w:rPr>
        <w:t>B. [Full-sentence rationale.]</w:t>
      </w:r>
      <w:proofErr w:type="gramEnd"/>
      <w:r w:rsidRPr="00300357">
        <w:rPr>
          <w:rFonts w:eastAsia="Calibri"/>
          <w:snapToGrid/>
          <w:szCs w:val="24"/>
        </w:rPr>
        <w:t xml:space="preserve"> </w:t>
      </w:r>
    </w:p>
    <w:p w:rsidR="00300357" w:rsidRPr="00300357" w:rsidRDefault="00300357" w:rsidP="007D1895">
      <w:pPr>
        <w:widowControl/>
        <w:spacing w:after="200"/>
        <w:ind w:left="720" w:firstLine="720"/>
        <w:rPr>
          <w:rFonts w:eastAsia="Calibri"/>
          <w:snapToGrid/>
          <w:szCs w:val="24"/>
        </w:rPr>
      </w:pPr>
      <w:r w:rsidRPr="00300357">
        <w:rPr>
          <w:rFonts w:eastAsia="Calibri"/>
          <w:snapToGrid/>
          <w:szCs w:val="24"/>
        </w:rPr>
        <w:t xml:space="preserve">C. [Opponent’s other position on this point is wrong because </w:t>
      </w:r>
      <w:proofErr w:type="gramStart"/>
      <w:r w:rsidRPr="00300357">
        <w:rPr>
          <w:rFonts w:eastAsia="Calibri"/>
          <w:snapToGrid/>
          <w:szCs w:val="24"/>
        </w:rPr>
        <w:t>… .]</w:t>
      </w:r>
      <w:proofErr w:type="gramEnd"/>
      <w:r w:rsidRPr="00300357">
        <w:rPr>
          <w:rFonts w:eastAsia="Calibri"/>
          <w:snapToGrid/>
          <w:szCs w:val="24"/>
        </w:rPr>
        <w:t xml:space="preserve"> </w:t>
      </w:r>
    </w:p>
    <w:p w:rsidR="00300357" w:rsidRPr="00300357" w:rsidRDefault="00300357" w:rsidP="007D1895">
      <w:pPr>
        <w:widowControl/>
        <w:spacing w:after="200"/>
        <w:ind w:left="720"/>
        <w:rPr>
          <w:rFonts w:eastAsia="Calibri"/>
          <w:snapToGrid/>
          <w:szCs w:val="24"/>
        </w:rPr>
      </w:pPr>
      <w:r w:rsidRPr="00300357">
        <w:rPr>
          <w:rFonts w:eastAsia="Calibri"/>
          <w:snapToGrid/>
          <w:szCs w:val="24"/>
        </w:rPr>
        <w:t>III. [Fu</w:t>
      </w:r>
      <w:r w:rsidR="00543380">
        <w:rPr>
          <w:rFonts w:eastAsia="Calibri"/>
          <w:snapToGrid/>
          <w:szCs w:val="24"/>
        </w:rPr>
        <w:t>ll-sentence policy conclusion.]</w:t>
      </w:r>
    </w:p>
    <w:p w:rsidR="00300357" w:rsidRPr="00300357" w:rsidRDefault="00AE09AE" w:rsidP="007D1895">
      <w:pPr>
        <w:widowControl/>
        <w:spacing w:after="200"/>
        <w:ind w:left="720"/>
        <w:rPr>
          <w:rFonts w:eastAsia="Calibri"/>
          <w:snapToGrid/>
          <w:szCs w:val="24"/>
        </w:rPr>
      </w:pPr>
      <w:r>
        <w:rPr>
          <w:rFonts w:eastAsia="Calibri"/>
          <w:snapToGrid/>
          <w:szCs w:val="24"/>
        </w:rPr>
        <w:t>. . .</w:t>
      </w:r>
    </w:p>
    <w:p w:rsidR="00247963" w:rsidRDefault="007D37F2" w:rsidP="007D1895">
      <w:pPr>
        <w:pStyle w:val="ListParagraph"/>
        <w:tabs>
          <w:tab w:val="left" w:pos="720"/>
        </w:tabs>
        <w:ind w:right="720" w:hanging="720"/>
        <w:rPr>
          <w:szCs w:val="24"/>
        </w:rPr>
      </w:pPr>
      <w:r w:rsidRPr="007D37F2">
        <w:rPr>
          <w:szCs w:val="24"/>
        </w:rPr>
        <w:t>The full text of this article is available at:</w:t>
      </w:r>
    </w:p>
    <w:p w:rsidR="007D37F2" w:rsidRDefault="007D37F2" w:rsidP="007D1895">
      <w:pPr>
        <w:pStyle w:val="ListParagraph"/>
        <w:tabs>
          <w:tab w:val="left" w:pos="720"/>
        </w:tabs>
        <w:ind w:right="720" w:hanging="720"/>
        <w:rPr>
          <w:szCs w:val="24"/>
        </w:rPr>
      </w:pPr>
    </w:p>
    <w:p w:rsidR="007D37F2" w:rsidRDefault="00B93A1F" w:rsidP="007D37F2">
      <w:pPr>
        <w:pStyle w:val="ListParagraph"/>
        <w:ind w:left="0" w:right="720"/>
        <w:rPr>
          <w:szCs w:val="24"/>
        </w:rPr>
      </w:pPr>
      <w:hyperlink r:id="rId12" w:history="1">
        <w:r w:rsidR="007D37F2" w:rsidRPr="003C0795">
          <w:rPr>
            <w:rStyle w:val="Hyperlink"/>
            <w:szCs w:val="24"/>
          </w:rPr>
          <w:t>http://www.abajournal.com/magazine/article/good_headings_show_youve_thought_out_your_arguments_well_in_advance</w:t>
        </w:r>
      </w:hyperlink>
    </w:p>
    <w:p w:rsidR="007D37F2" w:rsidRPr="007D37F2" w:rsidRDefault="007D37F2" w:rsidP="007D1895">
      <w:pPr>
        <w:pStyle w:val="ListParagraph"/>
        <w:tabs>
          <w:tab w:val="left" w:pos="720"/>
        </w:tabs>
        <w:ind w:right="720" w:hanging="720"/>
        <w:rPr>
          <w:szCs w:val="24"/>
        </w:rPr>
      </w:pPr>
    </w:p>
    <w:p w:rsidR="007D37F2" w:rsidRDefault="007D37F2" w:rsidP="007D37F2">
      <w:pPr>
        <w:pStyle w:val="ListParagraph"/>
        <w:ind w:left="0"/>
        <w:rPr>
          <w:szCs w:val="24"/>
        </w:rPr>
      </w:pPr>
      <w:r>
        <w:rPr>
          <w:szCs w:val="24"/>
        </w:rPr>
        <w:t>Garner’s advice here is excellent.  Please use short, single-sentence headers that draw a roadmap of your argument.</w:t>
      </w:r>
    </w:p>
    <w:p w:rsidR="007D37F2" w:rsidRPr="007D37F2" w:rsidRDefault="007D37F2" w:rsidP="007D37F2">
      <w:pPr>
        <w:pStyle w:val="ListParagraph"/>
        <w:ind w:left="0" w:right="720"/>
        <w:rPr>
          <w:szCs w:val="24"/>
        </w:rPr>
      </w:pPr>
    </w:p>
    <w:p w:rsidR="00A86CE6" w:rsidRDefault="00A86CE6" w:rsidP="007D1895">
      <w:pPr>
        <w:pStyle w:val="ListParagraph"/>
        <w:tabs>
          <w:tab w:val="left" w:pos="720"/>
        </w:tabs>
        <w:ind w:right="720" w:hanging="720"/>
        <w:rPr>
          <w:b/>
          <w:szCs w:val="24"/>
          <w:u w:val="single"/>
        </w:rPr>
      </w:pPr>
    </w:p>
    <w:p w:rsidR="00DE2FC0" w:rsidRPr="00DE2FC0" w:rsidRDefault="00DE2FC0" w:rsidP="007D1895">
      <w:pPr>
        <w:pStyle w:val="ListParagraph"/>
        <w:tabs>
          <w:tab w:val="left" w:pos="720"/>
        </w:tabs>
        <w:ind w:right="720" w:hanging="720"/>
        <w:rPr>
          <w:b/>
          <w:szCs w:val="24"/>
          <w:u w:val="single"/>
        </w:rPr>
      </w:pPr>
      <w:r w:rsidRPr="00DE2FC0">
        <w:rPr>
          <w:b/>
          <w:szCs w:val="24"/>
          <w:u w:val="single"/>
        </w:rPr>
        <w:t>Practice Tips</w:t>
      </w:r>
    </w:p>
    <w:p w:rsidR="00EF2CEF" w:rsidRDefault="007D37F2" w:rsidP="007D1895">
      <w:pPr>
        <w:pStyle w:val="Heading1"/>
        <w:rPr>
          <w:sz w:val="24"/>
          <w:szCs w:val="24"/>
          <w:lang w:val="en-US"/>
        </w:rPr>
      </w:pPr>
      <w:r>
        <w:rPr>
          <w:sz w:val="24"/>
          <w:szCs w:val="24"/>
          <w:lang w:val="en-US"/>
        </w:rPr>
        <w:t xml:space="preserve">Rule </w:t>
      </w:r>
      <w:r w:rsidR="00383337">
        <w:rPr>
          <w:sz w:val="24"/>
          <w:szCs w:val="24"/>
          <w:lang w:val="en-US"/>
        </w:rPr>
        <w:t>16(l) and 22(c) Letters</w:t>
      </w:r>
    </w:p>
    <w:p w:rsidR="007D37F2" w:rsidRDefault="007D37F2" w:rsidP="00383337">
      <w:pPr>
        <w:pStyle w:val="Heading1"/>
        <w:rPr>
          <w:b w:val="0"/>
          <w:sz w:val="24"/>
          <w:szCs w:val="24"/>
          <w:lang w:val="en-US"/>
        </w:rPr>
      </w:pPr>
      <w:r>
        <w:rPr>
          <w:b w:val="0"/>
          <w:sz w:val="24"/>
          <w:szCs w:val="24"/>
          <w:lang w:val="en-US"/>
        </w:rPr>
        <w:t>A new case on point is issued right after argument. What do you do?  You file a Rule 16(l) letter with the Court (electronically) informing the Court, without argument, of the new case.</w:t>
      </w:r>
    </w:p>
    <w:p w:rsidR="007D37F2" w:rsidRDefault="007D37F2" w:rsidP="00383337">
      <w:pPr>
        <w:pStyle w:val="Heading1"/>
        <w:rPr>
          <w:b w:val="0"/>
          <w:sz w:val="24"/>
          <w:szCs w:val="24"/>
          <w:lang w:val="en-US"/>
        </w:rPr>
      </w:pPr>
      <w:r>
        <w:rPr>
          <w:b w:val="0"/>
          <w:sz w:val="24"/>
          <w:szCs w:val="24"/>
          <w:lang w:val="en-US"/>
        </w:rPr>
        <w:t>The panel goes in a completely new direction with the appellee on a subject that no one briefed.  What do you do?  You file a Rule 22(c) letter with the Court (electronically) that addresses the new issue.</w:t>
      </w:r>
    </w:p>
    <w:p w:rsidR="00383337" w:rsidRDefault="007D37F2" w:rsidP="00383337">
      <w:pPr>
        <w:pStyle w:val="Heading1"/>
        <w:rPr>
          <w:b w:val="0"/>
          <w:sz w:val="24"/>
          <w:szCs w:val="24"/>
          <w:lang w:val="en-US"/>
        </w:rPr>
      </w:pPr>
      <w:r>
        <w:rPr>
          <w:b w:val="0"/>
          <w:sz w:val="24"/>
          <w:szCs w:val="24"/>
          <w:lang w:val="en-US"/>
        </w:rPr>
        <w:t xml:space="preserve">What happens when both circumstances arise in the same case?  </w:t>
      </w:r>
      <w:r w:rsidR="00383337">
        <w:rPr>
          <w:b w:val="0"/>
          <w:sz w:val="24"/>
          <w:szCs w:val="24"/>
          <w:lang w:val="en-US"/>
        </w:rPr>
        <w:t xml:space="preserve">We recently asked Joe Stanton, Clerk of the Appeals Court, whether </w:t>
      </w:r>
      <w:r>
        <w:rPr>
          <w:b w:val="0"/>
          <w:sz w:val="24"/>
          <w:szCs w:val="24"/>
          <w:lang w:val="en-US"/>
        </w:rPr>
        <w:t xml:space="preserve">Rule </w:t>
      </w:r>
      <w:r w:rsidR="00383337">
        <w:rPr>
          <w:b w:val="0"/>
          <w:sz w:val="24"/>
          <w:szCs w:val="24"/>
          <w:lang w:val="en-US"/>
        </w:rPr>
        <w:t xml:space="preserve">16(l) and 22(c) letters could </w:t>
      </w:r>
      <w:r w:rsidR="0035234D">
        <w:rPr>
          <w:b w:val="0"/>
          <w:sz w:val="24"/>
          <w:szCs w:val="24"/>
          <w:lang w:val="en-US"/>
        </w:rPr>
        <w:t xml:space="preserve">(or should) </w:t>
      </w:r>
      <w:r w:rsidR="00383337">
        <w:rPr>
          <w:b w:val="0"/>
          <w:sz w:val="24"/>
          <w:szCs w:val="24"/>
          <w:lang w:val="en-US"/>
        </w:rPr>
        <w:t>be combined into one “hybrid” letter</w:t>
      </w:r>
      <w:r w:rsidR="001906F9">
        <w:rPr>
          <w:b w:val="0"/>
          <w:sz w:val="24"/>
          <w:szCs w:val="24"/>
          <w:lang w:val="en-US"/>
        </w:rPr>
        <w:t xml:space="preserve"> when circumstances warrant </w:t>
      </w:r>
      <w:r>
        <w:rPr>
          <w:b w:val="0"/>
          <w:sz w:val="24"/>
          <w:szCs w:val="24"/>
          <w:lang w:val="en-US"/>
        </w:rPr>
        <w:t>both</w:t>
      </w:r>
      <w:r w:rsidR="001906F9">
        <w:rPr>
          <w:b w:val="0"/>
          <w:sz w:val="24"/>
          <w:szCs w:val="24"/>
          <w:lang w:val="en-US"/>
        </w:rPr>
        <w:t xml:space="preserve">. We </w:t>
      </w:r>
      <w:r w:rsidR="00383337">
        <w:rPr>
          <w:b w:val="0"/>
          <w:sz w:val="24"/>
          <w:szCs w:val="24"/>
          <w:lang w:val="en-US"/>
        </w:rPr>
        <w:t xml:space="preserve">also </w:t>
      </w:r>
      <w:r w:rsidR="001906F9">
        <w:rPr>
          <w:b w:val="0"/>
          <w:sz w:val="24"/>
          <w:szCs w:val="24"/>
          <w:lang w:val="en-US"/>
        </w:rPr>
        <w:t xml:space="preserve">asked </w:t>
      </w:r>
      <w:r>
        <w:rPr>
          <w:b w:val="0"/>
          <w:sz w:val="24"/>
          <w:szCs w:val="24"/>
          <w:lang w:val="en-US"/>
        </w:rPr>
        <w:t>if</w:t>
      </w:r>
      <w:r w:rsidR="00383337">
        <w:rPr>
          <w:b w:val="0"/>
          <w:sz w:val="24"/>
          <w:szCs w:val="24"/>
          <w:lang w:val="en-US"/>
        </w:rPr>
        <w:t xml:space="preserve"> a </w:t>
      </w:r>
      <w:r>
        <w:rPr>
          <w:b w:val="0"/>
          <w:sz w:val="24"/>
          <w:szCs w:val="24"/>
          <w:lang w:val="en-US"/>
        </w:rPr>
        <w:t xml:space="preserve">Rule </w:t>
      </w:r>
      <w:r w:rsidR="00383337">
        <w:rPr>
          <w:b w:val="0"/>
          <w:sz w:val="24"/>
          <w:szCs w:val="24"/>
          <w:lang w:val="en-US"/>
        </w:rPr>
        <w:t>22 (c) letter requires a separate motion requesting leave to file the letter or if the opening paragraph could contain the request.  Here is what he said:</w:t>
      </w:r>
    </w:p>
    <w:p w:rsidR="00383337" w:rsidRDefault="00383337" w:rsidP="00383337">
      <w:pPr>
        <w:ind w:left="720"/>
      </w:pPr>
      <w:r>
        <w:lastRenderedPageBreak/>
        <w:t>The two letters should not be combined.  They serve different purposes and should be submitted separately when circumstances in a case warrant the submission of both types of letters.  A letter submitted pursuant to Mass. R. App. P. 16(l) should be limited to the citation for the newly discovered authority and a citation to the relevant pages of argument in the party's brief.  There should be no argument.  If the newly discovered authority is from outside of Massachusetts, attaching a copy is permissible, and often appreciated by the judges.</w:t>
      </w:r>
    </w:p>
    <w:p w:rsidR="00383337" w:rsidRDefault="00383337" w:rsidP="00383337"/>
    <w:p w:rsidR="00383337" w:rsidRDefault="00383337" w:rsidP="00383337">
      <w:pPr>
        <w:ind w:left="720"/>
      </w:pPr>
      <w:r>
        <w:t xml:space="preserve">On the other hand, a letter submitted pursuant to Mass. R. App. P. 22(c) requires leave of court and may contain new argument.  In support of that argument, the party is likely to cite authority, but that does not make the letter a 16(l) letter.  Sometimes, the court requests a 22(c) letter or states that a letter may be submitted when counsel is unable to recall a particular authority or fact at argument.  In those cases, no further leave is required, but the introduction to the letter should reference the panel's request or their grant of permission.  In all other cases, a letter submitted pursuant to 22(c) should be accompanied by a </w:t>
      </w:r>
      <w:r w:rsidRPr="00383337">
        <w:rPr>
          <w:i/>
        </w:rPr>
        <w:t xml:space="preserve">separate </w:t>
      </w:r>
      <w:r>
        <w:t>motion setting forth the request for leave to submit the letter so that the docket can clearly reflect whether leave is granted and the letter considered.  It also gives the panel the option of permitting the other side to respond, if appropriate or necessary.</w:t>
      </w:r>
    </w:p>
    <w:p w:rsidR="00383337" w:rsidRPr="00383337" w:rsidRDefault="0035234D" w:rsidP="00383337">
      <w:pPr>
        <w:pStyle w:val="Heading1"/>
        <w:rPr>
          <w:b w:val="0"/>
          <w:sz w:val="24"/>
          <w:szCs w:val="24"/>
          <w:lang w:val="en-US"/>
        </w:rPr>
      </w:pPr>
      <w:r>
        <w:rPr>
          <w:b w:val="0"/>
          <w:sz w:val="24"/>
          <w:szCs w:val="24"/>
          <w:lang w:val="en-US"/>
        </w:rPr>
        <w:t>So now we know.  Thanks, Joe!</w:t>
      </w:r>
    </w:p>
    <w:sectPr w:rsidR="00383337" w:rsidRPr="00383337" w:rsidSect="008C723C">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E5" w:rsidRDefault="001A42E5" w:rsidP="008C723C">
      <w:r>
        <w:separator/>
      </w:r>
    </w:p>
  </w:endnote>
  <w:endnote w:type="continuationSeparator" w:id="0">
    <w:p w:rsidR="001A42E5" w:rsidRDefault="001A42E5"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5" w:rsidRDefault="001A42E5">
    <w:pPr>
      <w:pStyle w:val="Footer"/>
      <w:jc w:val="center"/>
    </w:pPr>
    <w:r>
      <w:fldChar w:fldCharType="begin"/>
    </w:r>
    <w:r>
      <w:instrText xml:space="preserve"> PAGE   \* MERGEFORMAT </w:instrText>
    </w:r>
    <w:r>
      <w:fldChar w:fldCharType="separate"/>
    </w:r>
    <w:r w:rsidR="00B93A1F">
      <w:rPr>
        <w:noProof/>
      </w:rPr>
      <w:t>2</w:t>
    </w:r>
    <w:r>
      <w:fldChar w:fldCharType="end"/>
    </w:r>
  </w:p>
  <w:p w:rsidR="001A42E5" w:rsidRDefault="001A4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E5" w:rsidRDefault="001A42E5" w:rsidP="008C723C">
      <w:r>
        <w:separator/>
      </w:r>
    </w:p>
  </w:footnote>
  <w:footnote w:type="continuationSeparator" w:id="0">
    <w:p w:rsidR="001A42E5" w:rsidRDefault="001A42E5"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55D4"/>
    <w:multiLevelType w:val="hybridMultilevel"/>
    <w:tmpl w:val="FC92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F6A36"/>
    <w:multiLevelType w:val="hybridMultilevel"/>
    <w:tmpl w:val="3C32A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A23C1"/>
    <w:multiLevelType w:val="hybridMultilevel"/>
    <w:tmpl w:val="A9C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A0C2D"/>
    <w:multiLevelType w:val="hybridMultilevel"/>
    <w:tmpl w:val="B7B4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39E"/>
    <w:multiLevelType w:val="hybridMultilevel"/>
    <w:tmpl w:val="41B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F468D"/>
    <w:multiLevelType w:val="hybridMultilevel"/>
    <w:tmpl w:val="AC8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B6AD0"/>
    <w:multiLevelType w:val="hybridMultilevel"/>
    <w:tmpl w:val="EABCE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01855"/>
    <w:rsid w:val="00014E3A"/>
    <w:rsid w:val="00015CB0"/>
    <w:rsid w:val="000228B3"/>
    <w:rsid w:val="000235D4"/>
    <w:rsid w:val="000303F9"/>
    <w:rsid w:val="00031C06"/>
    <w:rsid w:val="00033908"/>
    <w:rsid w:val="00034B3A"/>
    <w:rsid w:val="000359C8"/>
    <w:rsid w:val="00036529"/>
    <w:rsid w:val="00037FF3"/>
    <w:rsid w:val="00040BD4"/>
    <w:rsid w:val="00047282"/>
    <w:rsid w:val="00052E51"/>
    <w:rsid w:val="000553F9"/>
    <w:rsid w:val="000609B1"/>
    <w:rsid w:val="00075A80"/>
    <w:rsid w:val="00087255"/>
    <w:rsid w:val="00097C14"/>
    <w:rsid w:val="000A0CBF"/>
    <w:rsid w:val="000A3855"/>
    <w:rsid w:val="000A71A8"/>
    <w:rsid w:val="000B1D45"/>
    <w:rsid w:val="000B536B"/>
    <w:rsid w:val="000C2349"/>
    <w:rsid w:val="000C45C5"/>
    <w:rsid w:val="000D4F6F"/>
    <w:rsid w:val="000D541C"/>
    <w:rsid w:val="000E0979"/>
    <w:rsid w:val="000E120F"/>
    <w:rsid w:val="000F0EAD"/>
    <w:rsid w:val="000F44A3"/>
    <w:rsid w:val="000F5516"/>
    <w:rsid w:val="000F5D17"/>
    <w:rsid w:val="000F6336"/>
    <w:rsid w:val="001015E8"/>
    <w:rsid w:val="00107F2D"/>
    <w:rsid w:val="00112710"/>
    <w:rsid w:val="001173F0"/>
    <w:rsid w:val="00124938"/>
    <w:rsid w:val="00130944"/>
    <w:rsid w:val="0013236B"/>
    <w:rsid w:val="00132EA7"/>
    <w:rsid w:val="00136440"/>
    <w:rsid w:val="00142179"/>
    <w:rsid w:val="00156BE7"/>
    <w:rsid w:val="0016275E"/>
    <w:rsid w:val="001636B0"/>
    <w:rsid w:val="00165ADC"/>
    <w:rsid w:val="00171B19"/>
    <w:rsid w:val="001723CB"/>
    <w:rsid w:val="00174D15"/>
    <w:rsid w:val="00181F6F"/>
    <w:rsid w:val="001906F9"/>
    <w:rsid w:val="001923B2"/>
    <w:rsid w:val="00192C50"/>
    <w:rsid w:val="001A42E5"/>
    <w:rsid w:val="001A4864"/>
    <w:rsid w:val="001A6E5C"/>
    <w:rsid w:val="001B10C7"/>
    <w:rsid w:val="001B245A"/>
    <w:rsid w:val="001B52A1"/>
    <w:rsid w:val="001C3C99"/>
    <w:rsid w:val="001C4061"/>
    <w:rsid w:val="001C6EBD"/>
    <w:rsid w:val="001D5EC5"/>
    <w:rsid w:val="001D78C1"/>
    <w:rsid w:val="001E0318"/>
    <w:rsid w:val="001E1A86"/>
    <w:rsid w:val="001E7ECD"/>
    <w:rsid w:val="001F7F9D"/>
    <w:rsid w:val="0020075D"/>
    <w:rsid w:val="00201DF5"/>
    <w:rsid w:val="00207465"/>
    <w:rsid w:val="00213B82"/>
    <w:rsid w:val="00216694"/>
    <w:rsid w:val="00220ADD"/>
    <w:rsid w:val="00234B9D"/>
    <w:rsid w:val="002375D2"/>
    <w:rsid w:val="00247963"/>
    <w:rsid w:val="00247BEC"/>
    <w:rsid w:val="00250E96"/>
    <w:rsid w:val="00251F3D"/>
    <w:rsid w:val="00255082"/>
    <w:rsid w:val="002605F1"/>
    <w:rsid w:val="00262D2E"/>
    <w:rsid w:val="00271926"/>
    <w:rsid w:val="00273C29"/>
    <w:rsid w:val="002743A3"/>
    <w:rsid w:val="0029583B"/>
    <w:rsid w:val="002966E6"/>
    <w:rsid w:val="00297744"/>
    <w:rsid w:val="002A19F5"/>
    <w:rsid w:val="002A24C4"/>
    <w:rsid w:val="002A7AF6"/>
    <w:rsid w:val="002B51BF"/>
    <w:rsid w:val="002B60FA"/>
    <w:rsid w:val="002B657D"/>
    <w:rsid w:val="002C2D9D"/>
    <w:rsid w:val="002C7A28"/>
    <w:rsid w:val="002D0C1A"/>
    <w:rsid w:val="002D0C4F"/>
    <w:rsid w:val="002D31EA"/>
    <w:rsid w:val="002D6DFF"/>
    <w:rsid w:val="002D6E20"/>
    <w:rsid w:val="002D7F19"/>
    <w:rsid w:val="002E03EC"/>
    <w:rsid w:val="002F3363"/>
    <w:rsid w:val="002F4B0E"/>
    <w:rsid w:val="002F5D91"/>
    <w:rsid w:val="002F608B"/>
    <w:rsid w:val="00300357"/>
    <w:rsid w:val="00305F2A"/>
    <w:rsid w:val="00306AC3"/>
    <w:rsid w:val="00321E87"/>
    <w:rsid w:val="00323235"/>
    <w:rsid w:val="00327C4D"/>
    <w:rsid w:val="00345767"/>
    <w:rsid w:val="00345852"/>
    <w:rsid w:val="0035234D"/>
    <w:rsid w:val="003557CE"/>
    <w:rsid w:val="003566EB"/>
    <w:rsid w:val="00360EEC"/>
    <w:rsid w:val="003646A3"/>
    <w:rsid w:val="00373105"/>
    <w:rsid w:val="00373F82"/>
    <w:rsid w:val="00383337"/>
    <w:rsid w:val="003862D5"/>
    <w:rsid w:val="00386E36"/>
    <w:rsid w:val="003A13A3"/>
    <w:rsid w:val="003A441B"/>
    <w:rsid w:val="003A6558"/>
    <w:rsid w:val="003B2A5B"/>
    <w:rsid w:val="003C2E28"/>
    <w:rsid w:val="003C4586"/>
    <w:rsid w:val="003C5724"/>
    <w:rsid w:val="003D0435"/>
    <w:rsid w:val="003D3ABB"/>
    <w:rsid w:val="003D4079"/>
    <w:rsid w:val="003E01BB"/>
    <w:rsid w:val="003E225D"/>
    <w:rsid w:val="003E6559"/>
    <w:rsid w:val="003F04A3"/>
    <w:rsid w:val="003F15EE"/>
    <w:rsid w:val="0040042A"/>
    <w:rsid w:val="0040322A"/>
    <w:rsid w:val="00406150"/>
    <w:rsid w:val="004069BB"/>
    <w:rsid w:val="00411B61"/>
    <w:rsid w:val="00413C49"/>
    <w:rsid w:val="0041443A"/>
    <w:rsid w:val="004167EA"/>
    <w:rsid w:val="004264CF"/>
    <w:rsid w:val="00427E0D"/>
    <w:rsid w:val="00436C31"/>
    <w:rsid w:val="0043761B"/>
    <w:rsid w:val="00440AE3"/>
    <w:rsid w:val="00443848"/>
    <w:rsid w:val="00444170"/>
    <w:rsid w:val="004442D3"/>
    <w:rsid w:val="00452C67"/>
    <w:rsid w:val="00455861"/>
    <w:rsid w:val="00460E98"/>
    <w:rsid w:val="004610BE"/>
    <w:rsid w:val="00467C7E"/>
    <w:rsid w:val="0047326F"/>
    <w:rsid w:val="004749B5"/>
    <w:rsid w:val="00480A91"/>
    <w:rsid w:val="00483FAD"/>
    <w:rsid w:val="004860B8"/>
    <w:rsid w:val="00487278"/>
    <w:rsid w:val="0049142E"/>
    <w:rsid w:val="00494042"/>
    <w:rsid w:val="00494973"/>
    <w:rsid w:val="0049696A"/>
    <w:rsid w:val="00496ADD"/>
    <w:rsid w:val="00496B64"/>
    <w:rsid w:val="004975CA"/>
    <w:rsid w:val="00497A23"/>
    <w:rsid w:val="004A5A2C"/>
    <w:rsid w:val="004A7C8B"/>
    <w:rsid w:val="004B2E01"/>
    <w:rsid w:val="004B4CFA"/>
    <w:rsid w:val="004C02A3"/>
    <w:rsid w:val="004C060D"/>
    <w:rsid w:val="004C26C9"/>
    <w:rsid w:val="004C4BDF"/>
    <w:rsid w:val="004C5DBE"/>
    <w:rsid w:val="004D0E84"/>
    <w:rsid w:val="004D4664"/>
    <w:rsid w:val="004D4AD5"/>
    <w:rsid w:val="004E584E"/>
    <w:rsid w:val="004E58F4"/>
    <w:rsid w:val="004E7199"/>
    <w:rsid w:val="004E779B"/>
    <w:rsid w:val="004F773C"/>
    <w:rsid w:val="00503CFE"/>
    <w:rsid w:val="00506CFD"/>
    <w:rsid w:val="00507A5D"/>
    <w:rsid w:val="005164CA"/>
    <w:rsid w:val="005168E8"/>
    <w:rsid w:val="00520365"/>
    <w:rsid w:val="0052325E"/>
    <w:rsid w:val="00524CAC"/>
    <w:rsid w:val="00543380"/>
    <w:rsid w:val="00544C81"/>
    <w:rsid w:val="00557C0A"/>
    <w:rsid w:val="005615FF"/>
    <w:rsid w:val="005634DD"/>
    <w:rsid w:val="00563D94"/>
    <w:rsid w:val="00572AA7"/>
    <w:rsid w:val="0057669C"/>
    <w:rsid w:val="00576EA3"/>
    <w:rsid w:val="00577922"/>
    <w:rsid w:val="005779EB"/>
    <w:rsid w:val="005800AD"/>
    <w:rsid w:val="005811A5"/>
    <w:rsid w:val="00582103"/>
    <w:rsid w:val="0059746D"/>
    <w:rsid w:val="005978A1"/>
    <w:rsid w:val="00597D82"/>
    <w:rsid w:val="005A0036"/>
    <w:rsid w:val="005B59FD"/>
    <w:rsid w:val="005C5BD3"/>
    <w:rsid w:val="005C6EB2"/>
    <w:rsid w:val="005D23ED"/>
    <w:rsid w:val="005D2630"/>
    <w:rsid w:val="005E0EDF"/>
    <w:rsid w:val="005E208A"/>
    <w:rsid w:val="005F0332"/>
    <w:rsid w:val="005F0A12"/>
    <w:rsid w:val="005F209C"/>
    <w:rsid w:val="005F5D5F"/>
    <w:rsid w:val="005F66E1"/>
    <w:rsid w:val="005F78C6"/>
    <w:rsid w:val="00605BBE"/>
    <w:rsid w:val="00606A93"/>
    <w:rsid w:val="00612475"/>
    <w:rsid w:val="00623BD3"/>
    <w:rsid w:val="00627250"/>
    <w:rsid w:val="0062782D"/>
    <w:rsid w:val="0063175D"/>
    <w:rsid w:val="006349B8"/>
    <w:rsid w:val="0064040B"/>
    <w:rsid w:val="006442A6"/>
    <w:rsid w:val="00645361"/>
    <w:rsid w:val="00650D72"/>
    <w:rsid w:val="00653AC7"/>
    <w:rsid w:val="00665D25"/>
    <w:rsid w:val="00671921"/>
    <w:rsid w:val="00672669"/>
    <w:rsid w:val="006803C4"/>
    <w:rsid w:val="0068459F"/>
    <w:rsid w:val="006849E7"/>
    <w:rsid w:val="00686789"/>
    <w:rsid w:val="00686990"/>
    <w:rsid w:val="00687129"/>
    <w:rsid w:val="00687BEC"/>
    <w:rsid w:val="006A406F"/>
    <w:rsid w:val="006B1C5E"/>
    <w:rsid w:val="006B5EC6"/>
    <w:rsid w:val="006C0D7B"/>
    <w:rsid w:val="006C0DDC"/>
    <w:rsid w:val="006C71B7"/>
    <w:rsid w:val="006C7884"/>
    <w:rsid w:val="006D3335"/>
    <w:rsid w:val="006D3924"/>
    <w:rsid w:val="006D4E28"/>
    <w:rsid w:val="006D557F"/>
    <w:rsid w:val="006D7420"/>
    <w:rsid w:val="006E557B"/>
    <w:rsid w:val="006F10A7"/>
    <w:rsid w:val="006F3314"/>
    <w:rsid w:val="00706F4A"/>
    <w:rsid w:val="007114C6"/>
    <w:rsid w:val="00723A21"/>
    <w:rsid w:val="00725D3C"/>
    <w:rsid w:val="00736C61"/>
    <w:rsid w:val="00736E8E"/>
    <w:rsid w:val="00737A5A"/>
    <w:rsid w:val="00737EAE"/>
    <w:rsid w:val="0074074C"/>
    <w:rsid w:val="00741FE1"/>
    <w:rsid w:val="007433BA"/>
    <w:rsid w:val="00745FE3"/>
    <w:rsid w:val="00750FCE"/>
    <w:rsid w:val="00767CE7"/>
    <w:rsid w:val="00771350"/>
    <w:rsid w:val="007749FF"/>
    <w:rsid w:val="0078008A"/>
    <w:rsid w:val="00781EC6"/>
    <w:rsid w:val="00783F5F"/>
    <w:rsid w:val="007A01C4"/>
    <w:rsid w:val="007A5E53"/>
    <w:rsid w:val="007B1C05"/>
    <w:rsid w:val="007B3A1A"/>
    <w:rsid w:val="007B5638"/>
    <w:rsid w:val="007B61BE"/>
    <w:rsid w:val="007B7C28"/>
    <w:rsid w:val="007C2961"/>
    <w:rsid w:val="007D1895"/>
    <w:rsid w:val="007D37F2"/>
    <w:rsid w:val="007D4CED"/>
    <w:rsid w:val="007D4EB1"/>
    <w:rsid w:val="007D64DA"/>
    <w:rsid w:val="007E1BC0"/>
    <w:rsid w:val="007E50DA"/>
    <w:rsid w:val="007F070E"/>
    <w:rsid w:val="007F109F"/>
    <w:rsid w:val="007F2AF0"/>
    <w:rsid w:val="007F5F49"/>
    <w:rsid w:val="00802233"/>
    <w:rsid w:val="00804C8F"/>
    <w:rsid w:val="00805866"/>
    <w:rsid w:val="0080783E"/>
    <w:rsid w:val="008135BA"/>
    <w:rsid w:val="00814E84"/>
    <w:rsid w:val="008211ED"/>
    <w:rsid w:val="0082355B"/>
    <w:rsid w:val="00826963"/>
    <w:rsid w:val="00830896"/>
    <w:rsid w:val="0083691D"/>
    <w:rsid w:val="00847F93"/>
    <w:rsid w:val="00851541"/>
    <w:rsid w:val="0087394D"/>
    <w:rsid w:val="008826EE"/>
    <w:rsid w:val="00893D55"/>
    <w:rsid w:val="00897E9B"/>
    <w:rsid w:val="008A58DF"/>
    <w:rsid w:val="008B1E08"/>
    <w:rsid w:val="008B36A5"/>
    <w:rsid w:val="008B4BAC"/>
    <w:rsid w:val="008B619D"/>
    <w:rsid w:val="008B6AA4"/>
    <w:rsid w:val="008B7A30"/>
    <w:rsid w:val="008B7BC0"/>
    <w:rsid w:val="008C17EA"/>
    <w:rsid w:val="008C723C"/>
    <w:rsid w:val="008D6239"/>
    <w:rsid w:val="008E12BE"/>
    <w:rsid w:val="008F3B04"/>
    <w:rsid w:val="008F52D3"/>
    <w:rsid w:val="008F616E"/>
    <w:rsid w:val="0090175B"/>
    <w:rsid w:val="009053E3"/>
    <w:rsid w:val="009061FE"/>
    <w:rsid w:val="00907CC3"/>
    <w:rsid w:val="00912A1A"/>
    <w:rsid w:val="00913C68"/>
    <w:rsid w:val="00914B9B"/>
    <w:rsid w:val="0093293F"/>
    <w:rsid w:val="00933CDF"/>
    <w:rsid w:val="00936860"/>
    <w:rsid w:val="009369B4"/>
    <w:rsid w:val="00937C4C"/>
    <w:rsid w:val="0094473F"/>
    <w:rsid w:val="00946AA5"/>
    <w:rsid w:val="00952269"/>
    <w:rsid w:val="00956FE7"/>
    <w:rsid w:val="0096268E"/>
    <w:rsid w:val="009639C3"/>
    <w:rsid w:val="009646E7"/>
    <w:rsid w:val="00970E4F"/>
    <w:rsid w:val="00971E51"/>
    <w:rsid w:val="0097368E"/>
    <w:rsid w:val="00973F3B"/>
    <w:rsid w:val="00974005"/>
    <w:rsid w:val="0097721D"/>
    <w:rsid w:val="00984D82"/>
    <w:rsid w:val="009940CA"/>
    <w:rsid w:val="0099600C"/>
    <w:rsid w:val="009A1436"/>
    <w:rsid w:val="009A56E9"/>
    <w:rsid w:val="009B3CED"/>
    <w:rsid w:val="009C27B0"/>
    <w:rsid w:val="009C5B08"/>
    <w:rsid w:val="009C616B"/>
    <w:rsid w:val="009D464E"/>
    <w:rsid w:val="009D53A6"/>
    <w:rsid w:val="009E7376"/>
    <w:rsid w:val="009F038C"/>
    <w:rsid w:val="009F62BB"/>
    <w:rsid w:val="00A03DF5"/>
    <w:rsid w:val="00A10459"/>
    <w:rsid w:val="00A10C76"/>
    <w:rsid w:val="00A133A3"/>
    <w:rsid w:val="00A14DC5"/>
    <w:rsid w:val="00A204AD"/>
    <w:rsid w:val="00A27391"/>
    <w:rsid w:val="00A274E1"/>
    <w:rsid w:val="00A30F15"/>
    <w:rsid w:val="00A3243C"/>
    <w:rsid w:val="00A33333"/>
    <w:rsid w:val="00A3461E"/>
    <w:rsid w:val="00A44666"/>
    <w:rsid w:val="00A52A8D"/>
    <w:rsid w:val="00A5373A"/>
    <w:rsid w:val="00A5574A"/>
    <w:rsid w:val="00A56CF3"/>
    <w:rsid w:val="00A61CF3"/>
    <w:rsid w:val="00A63DC0"/>
    <w:rsid w:val="00A650B4"/>
    <w:rsid w:val="00A7040B"/>
    <w:rsid w:val="00A71A8F"/>
    <w:rsid w:val="00A71F73"/>
    <w:rsid w:val="00A778A8"/>
    <w:rsid w:val="00A8182A"/>
    <w:rsid w:val="00A86CE6"/>
    <w:rsid w:val="00AA66BF"/>
    <w:rsid w:val="00AA7D35"/>
    <w:rsid w:val="00AB2CE6"/>
    <w:rsid w:val="00AB4268"/>
    <w:rsid w:val="00AB5533"/>
    <w:rsid w:val="00AC1D5D"/>
    <w:rsid w:val="00AC30A0"/>
    <w:rsid w:val="00AC78D8"/>
    <w:rsid w:val="00AD51FB"/>
    <w:rsid w:val="00AE09AE"/>
    <w:rsid w:val="00AE7F98"/>
    <w:rsid w:val="00AF0A44"/>
    <w:rsid w:val="00AF3DA5"/>
    <w:rsid w:val="00AF5BF9"/>
    <w:rsid w:val="00AF6C18"/>
    <w:rsid w:val="00B022BE"/>
    <w:rsid w:val="00B054F6"/>
    <w:rsid w:val="00B14102"/>
    <w:rsid w:val="00B164F2"/>
    <w:rsid w:val="00B242FA"/>
    <w:rsid w:val="00B306AE"/>
    <w:rsid w:val="00B40C29"/>
    <w:rsid w:val="00B42AD5"/>
    <w:rsid w:val="00B43A8F"/>
    <w:rsid w:val="00B508E8"/>
    <w:rsid w:val="00B53805"/>
    <w:rsid w:val="00B55C97"/>
    <w:rsid w:val="00B61133"/>
    <w:rsid w:val="00B61942"/>
    <w:rsid w:val="00B63822"/>
    <w:rsid w:val="00B6694A"/>
    <w:rsid w:val="00B74E07"/>
    <w:rsid w:val="00B82F19"/>
    <w:rsid w:val="00B93140"/>
    <w:rsid w:val="00B93A1F"/>
    <w:rsid w:val="00BA161C"/>
    <w:rsid w:val="00BA4794"/>
    <w:rsid w:val="00BA5C17"/>
    <w:rsid w:val="00BB2D9A"/>
    <w:rsid w:val="00BB4CA9"/>
    <w:rsid w:val="00BC1FED"/>
    <w:rsid w:val="00BC2648"/>
    <w:rsid w:val="00BC51EF"/>
    <w:rsid w:val="00BC60E4"/>
    <w:rsid w:val="00BC66C7"/>
    <w:rsid w:val="00BD04F6"/>
    <w:rsid w:val="00BD2D1F"/>
    <w:rsid w:val="00BE31FC"/>
    <w:rsid w:val="00BF08EF"/>
    <w:rsid w:val="00BF4F96"/>
    <w:rsid w:val="00C05C0B"/>
    <w:rsid w:val="00C3282F"/>
    <w:rsid w:val="00C35D93"/>
    <w:rsid w:val="00C36A99"/>
    <w:rsid w:val="00C3788F"/>
    <w:rsid w:val="00C4147B"/>
    <w:rsid w:val="00C4679C"/>
    <w:rsid w:val="00C53751"/>
    <w:rsid w:val="00C61F07"/>
    <w:rsid w:val="00C66A34"/>
    <w:rsid w:val="00C7043C"/>
    <w:rsid w:val="00C71DFC"/>
    <w:rsid w:val="00C8093F"/>
    <w:rsid w:val="00C92558"/>
    <w:rsid w:val="00CB1B75"/>
    <w:rsid w:val="00CB719D"/>
    <w:rsid w:val="00CC603F"/>
    <w:rsid w:val="00CE3290"/>
    <w:rsid w:val="00CE598E"/>
    <w:rsid w:val="00CF255D"/>
    <w:rsid w:val="00CF5C27"/>
    <w:rsid w:val="00D04014"/>
    <w:rsid w:val="00D056A6"/>
    <w:rsid w:val="00D26473"/>
    <w:rsid w:val="00D45CB7"/>
    <w:rsid w:val="00D4635B"/>
    <w:rsid w:val="00D47F4D"/>
    <w:rsid w:val="00D501D6"/>
    <w:rsid w:val="00D502B0"/>
    <w:rsid w:val="00D51789"/>
    <w:rsid w:val="00D55861"/>
    <w:rsid w:val="00D62023"/>
    <w:rsid w:val="00D62B6D"/>
    <w:rsid w:val="00D65782"/>
    <w:rsid w:val="00D66EF1"/>
    <w:rsid w:val="00D738F6"/>
    <w:rsid w:val="00D92929"/>
    <w:rsid w:val="00D93E09"/>
    <w:rsid w:val="00D95614"/>
    <w:rsid w:val="00DA5493"/>
    <w:rsid w:val="00DA6E5C"/>
    <w:rsid w:val="00DB7E27"/>
    <w:rsid w:val="00DC3F5E"/>
    <w:rsid w:val="00DC499E"/>
    <w:rsid w:val="00DC6E60"/>
    <w:rsid w:val="00DD2AA9"/>
    <w:rsid w:val="00DD6943"/>
    <w:rsid w:val="00DD6CF5"/>
    <w:rsid w:val="00DD7305"/>
    <w:rsid w:val="00DE03EF"/>
    <w:rsid w:val="00DE2FC0"/>
    <w:rsid w:val="00DF02D4"/>
    <w:rsid w:val="00DF0733"/>
    <w:rsid w:val="00DF3E3C"/>
    <w:rsid w:val="00DF6671"/>
    <w:rsid w:val="00DF6AB7"/>
    <w:rsid w:val="00E063F9"/>
    <w:rsid w:val="00E07542"/>
    <w:rsid w:val="00E17755"/>
    <w:rsid w:val="00E21A5C"/>
    <w:rsid w:val="00E22D40"/>
    <w:rsid w:val="00E24331"/>
    <w:rsid w:val="00E24A8E"/>
    <w:rsid w:val="00E25335"/>
    <w:rsid w:val="00E33EEF"/>
    <w:rsid w:val="00E34DCF"/>
    <w:rsid w:val="00E4435A"/>
    <w:rsid w:val="00E44FA1"/>
    <w:rsid w:val="00E528EF"/>
    <w:rsid w:val="00E55826"/>
    <w:rsid w:val="00E6275E"/>
    <w:rsid w:val="00E63F25"/>
    <w:rsid w:val="00E64703"/>
    <w:rsid w:val="00E81588"/>
    <w:rsid w:val="00E81BAD"/>
    <w:rsid w:val="00E83E96"/>
    <w:rsid w:val="00E85AA3"/>
    <w:rsid w:val="00E95DE4"/>
    <w:rsid w:val="00E96669"/>
    <w:rsid w:val="00EC7DD9"/>
    <w:rsid w:val="00ED04A4"/>
    <w:rsid w:val="00ED22DB"/>
    <w:rsid w:val="00ED70A6"/>
    <w:rsid w:val="00EE42BD"/>
    <w:rsid w:val="00EE5C33"/>
    <w:rsid w:val="00EF1B5B"/>
    <w:rsid w:val="00EF2CEF"/>
    <w:rsid w:val="00EF5115"/>
    <w:rsid w:val="00EF68C4"/>
    <w:rsid w:val="00F02054"/>
    <w:rsid w:val="00F02DF5"/>
    <w:rsid w:val="00F066AB"/>
    <w:rsid w:val="00F15FEF"/>
    <w:rsid w:val="00F23D81"/>
    <w:rsid w:val="00F24386"/>
    <w:rsid w:val="00F25849"/>
    <w:rsid w:val="00F26BB7"/>
    <w:rsid w:val="00F40654"/>
    <w:rsid w:val="00F44146"/>
    <w:rsid w:val="00F53F56"/>
    <w:rsid w:val="00F55394"/>
    <w:rsid w:val="00F56507"/>
    <w:rsid w:val="00F5797E"/>
    <w:rsid w:val="00F81ECB"/>
    <w:rsid w:val="00F82419"/>
    <w:rsid w:val="00F851F6"/>
    <w:rsid w:val="00F91CDD"/>
    <w:rsid w:val="00F920E4"/>
    <w:rsid w:val="00F97D15"/>
    <w:rsid w:val="00FA3550"/>
    <w:rsid w:val="00FA3786"/>
    <w:rsid w:val="00FD4F9D"/>
    <w:rsid w:val="00FE0E34"/>
    <w:rsid w:val="00FE3411"/>
    <w:rsid w:val="00FE50AE"/>
    <w:rsid w:val="00FE6D6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778">
      <w:bodyDiv w:val="1"/>
      <w:marLeft w:val="0"/>
      <w:marRight w:val="0"/>
      <w:marTop w:val="0"/>
      <w:marBottom w:val="0"/>
      <w:divBdr>
        <w:top w:val="none" w:sz="0" w:space="0" w:color="auto"/>
        <w:left w:val="none" w:sz="0" w:space="0" w:color="auto"/>
        <w:bottom w:val="none" w:sz="0" w:space="0" w:color="auto"/>
        <w:right w:val="none" w:sz="0" w:space="0" w:color="auto"/>
      </w:divBdr>
      <w:divsChild>
        <w:div w:id="358894804">
          <w:marLeft w:val="0"/>
          <w:marRight w:val="0"/>
          <w:marTop w:val="0"/>
          <w:marBottom w:val="0"/>
          <w:divBdr>
            <w:top w:val="none" w:sz="0" w:space="0" w:color="auto"/>
            <w:left w:val="none" w:sz="0" w:space="0" w:color="auto"/>
            <w:bottom w:val="none" w:sz="0" w:space="0" w:color="auto"/>
            <w:right w:val="none" w:sz="0" w:space="0" w:color="auto"/>
          </w:divBdr>
        </w:div>
      </w:divsChild>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660738718">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8216547">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48728516">
      <w:bodyDiv w:val="1"/>
      <w:marLeft w:val="0"/>
      <w:marRight w:val="0"/>
      <w:marTop w:val="0"/>
      <w:marBottom w:val="0"/>
      <w:divBdr>
        <w:top w:val="none" w:sz="0" w:space="0" w:color="auto"/>
        <w:left w:val="none" w:sz="0" w:space="0" w:color="auto"/>
        <w:bottom w:val="none" w:sz="0" w:space="0" w:color="auto"/>
        <w:right w:val="none" w:sz="0" w:space="0" w:color="auto"/>
      </w:divBdr>
      <w:divsChild>
        <w:div w:id="708410434">
          <w:marLeft w:val="0"/>
          <w:marRight w:val="0"/>
          <w:marTop w:val="0"/>
          <w:marBottom w:val="0"/>
          <w:divBdr>
            <w:top w:val="none" w:sz="0" w:space="0" w:color="auto"/>
            <w:left w:val="none" w:sz="0" w:space="0" w:color="auto"/>
            <w:bottom w:val="none" w:sz="0" w:space="0" w:color="auto"/>
            <w:right w:val="none" w:sz="0" w:space="0" w:color="auto"/>
          </w:divBdr>
        </w:div>
        <w:div w:id="2022582795">
          <w:marLeft w:val="0"/>
          <w:marRight w:val="0"/>
          <w:marTop w:val="0"/>
          <w:marBottom w:val="0"/>
          <w:divBdr>
            <w:top w:val="none" w:sz="0" w:space="0" w:color="auto"/>
            <w:left w:val="none" w:sz="0" w:space="0" w:color="auto"/>
            <w:bottom w:val="none" w:sz="0" w:space="0" w:color="auto"/>
            <w:right w:val="none" w:sz="0" w:space="0" w:color="auto"/>
          </w:divBdr>
        </w:div>
      </w:divsChild>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03123623">
      <w:bodyDiv w:val="1"/>
      <w:marLeft w:val="0"/>
      <w:marRight w:val="0"/>
      <w:marTop w:val="0"/>
      <w:marBottom w:val="0"/>
      <w:divBdr>
        <w:top w:val="none" w:sz="0" w:space="0" w:color="auto"/>
        <w:left w:val="none" w:sz="0" w:space="0" w:color="auto"/>
        <w:bottom w:val="none" w:sz="0" w:space="0" w:color="auto"/>
        <w:right w:val="none" w:sz="0" w:space="0" w:color="auto"/>
      </w:divBdr>
      <w:divsChild>
        <w:div w:id="507409841">
          <w:marLeft w:val="0"/>
          <w:marRight w:val="0"/>
          <w:marTop w:val="0"/>
          <w:marBottom w:val="0"/>
          <w:divBdr>
            <w:top w:val="none" w:sz="0" w:space="0" w:color="auto"/>
            <w:left w:val="none" w:sz="0" w:space="0" w:color="auto"/>
            <w:bottom w:val="none" w:sz="0" w:space="0" w:color="auto"/>
            <w:right w:val="none" w:sz="0" w:space="0" w:color="auto"/>
          </w:divBdr>
        </w:div>
        <w:div w:id="595987771">
          <w:marLeft w:val="0"/>
          <w:marRight w:val="0"/>
          <w:marTop w:val="0"/>
          <w:marBottom w:val="0"/>
          <w:divBdr>
            <w:top w:val="none" w:sz="0" w:space="0" w:color="auto"/>
            <w:left w:val="none" w:sz="0" w:space="0" w:color="auto"/>
            <w:bottom w:val="none" w:sz="0" w:space="0" w:color="auto"/>
            <w:right w:val="none" w:sz="0" w:space="0" w:color="auto"/>
          </w:divBdr>
        </w:div>
        <w:div w:id="197011502">
          <w:marLeft w:val="0"/>
          <w:marRight w:val="0"/>
          <w:marTop w:val="0"/>
          <w:marBottom w:val="0"/>
          <w:divBdr>
            <w:top w:val="none" w:sz="0" w:space="0" w:color="auto"/>
            <w:left w:val="none" w:sz="0" w:space="0" w:color="auto"/>
            <w:bottom w:val="none" w:sz="0" w:space="0" w:color="auto"/>
            <w:right w:val="none" w:sz="0" w:space="0" w:color="auto"/>
          </w:divBdr>
        </w:div>
      </w:divsChild>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094007790">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ajournal.com/magazine/article/good_headings_show_youve_thought_out_your_arguments_well_in_adv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nexis.com/clients/macour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ubliccounsel.net/cafl/" TargetMode="External"/><Relationship Id="rId4" Type="http://schemas.microsoft.com/office/2007/relationships/stylesWithEffects" Target="stylesWithEffects.xml"/><Relationship Id="rId9" Type="http://schemas.openxmlformats.org/officeDocument/2006/relationships/hyperlink" Target="mailto:jprince@publiccounse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45C8-C4C2-47FC-9A70-F48CD41B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3390</Words>
  <Characters>19326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22671</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Jaime Prince</cp:lastModifiedBy>
  <cp:revision>2</cp:revision>
  <cp:lastPrinted>2016-04-19T17:02:00Z</cp:lastPrinted>
  <dcterms:created xsi:type="dcterms:W3CDTF">2016-07-21T19:18:00Z</dcterms:created>
  <dcterms:modified xsi:type="dcterms:W3CDTF">2016-07-21T19:18:00Z</dcterms:modified>
</cp:coreProperties>
</file>