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0A0" w:rsidRDefault="00AC30A0" w:rsidP="00AC30A0">
      <w:pPr>
        <w:jc w:val="center"/>
        <w:rPr>
          <w:b/>
          <w:i/>
          <w:sz w:val="40"/>
        </w:rPr>
      </w:pPr>
      <w:bookmarkStart w:id="0" w:name="_GoBack"/>
      <w:bookmarkEnd w:id="0"/>
      <w:r>
        <w:rPr>
          <w:b/>
          <w:i/>
          <w:sz w:val="40"/>
        </w:rPr>
        <w:t>Committee for Public Counsel Services</w:t>
      </w:r>
    </w:p>
    <w:p w:rsidR="00AC30A0" w:rsidRDefault="00AC30A0" w:rsidP="00AC30A0">
      <w:pPr>
        <w:jc w:val="center"/>
        <w:rPr>
          <w:i/>
        </w:rPr>
      </w:pPr>
      <w:r>
        <w:rPr>
          <w:b/>
          <w:i/>
          <w:sz w:val="40"/>
        </w:rPr>
        <w:t>Children and Family Law Division</w:t>
      </w:r>
    </w:p>
    <w:p w:rsidR="00AC30A0" w:rsidRDefault="00AC30A0" w:rsidP="00AC30A0">
      <w:pPr>
        <w:jc w:val="center"/>
        <w:rPr>
          <w:i/>
        </w:rPr>
      </w:pPr>
      <w:r>
        <w:rPr>
          <w:i/>
        </w:rPr>
        <w:t>44 Bromfield Street, Boston, MA 02108</w:t>
      </w:r>
    </w:p>
    <w:p w:rsidR="00AC30A0" w:rsidRDefault="00AC30A0" w:rsidP="00AC30A0">
      <w:pPr>
        <w:jc w:val="center"/>
      </w:pPr>
      <w:r>
        <w:rPr>
          <w:i/>
        </w:rPr>
        <w:t>Phone: (617) 482-6212, Fax: (617) 988-8455</w:t>
      </w:r>
    </w:p>
    <w:p w:rsidR="00AC30A0" w:rsidRDefault="00AC30A0" w:rsidP="00AC30A0">
      <w:r>
        <w:tab/>
      </w:r>
      <w:r>
        <w:tab/>
      </w:r>
      <w:r>
        <w:tab/>
      </w:r>
    </w:p>
    <w:p w:rsidR="00AC30A0" w:rsidRPr="00201DF5" w:rsidRDefault="00201DF5" w:rsidP="00AC30A0">
      <w:pPr>
        <w:jc w:val="center"/>
        <w:rPr>
          <w:b/>
          <w:sz w:val="30"/>
        </w:rPr>
      </w:pPr>
      <w:r w:rsidRPr="00201DF5">
        <w:rPr>
          <w:b/>
          <w:sz w:val="30"/>
        </w:rPr>
        <w:t>APPELLATE BULLETIN</w:t>
      </w:r>
    </w:p>
    <w:p w:rsidR="00AC30A0" w:rsidRDefault="00AC30A0" w:rsidP="00AC30A0">
      <w:pPr>
        <w:jc w:val="center"/>
        <w:rPr>
          <w:b/>
        </w:rPr>
      </w:pPr>
    </w:p>
    <w:p w:rsidR="00AC30A0" w:rsidRDefault="00AC30A0" w:rsidP="00AC30A0">
      <w:pPr>
        <w:ind w:left="720" w:right="720" w:hanging="720"/>
        <w:rPr>
          <w:szCs w:val="24"/>
        </w:rPr>
      </w:pPr>
      <w:r w:rsidRPr="00045951">
        <w:rPr>
          <w:szCs w:val="24"/>
        </w:rPr>
        <w:t>To:</w:t>
      </w:r>
      <w:r w:rsidRPr="00045951">
        <w:rPr>
          <w:szCs w:val="24"/>
        </w:rPr>
        <w:tab/>
        <w:t xml:space="preserve">CAFL Appellate Panel Members </w:t>
      </w:r>
    </w:p>
    <w:p w:rsidR="00AC30A0" w:rsidRDefault="00AC30A0" w:rsidP="00AC30A0">
      <w:pPr>
        <w:ind w:left="720" w:right="720" w:hanging="720"/>
        <w:rPr>
          <w:szCs w:val="24"/>
        </w:rPr>
      </w:pPr>
      <w:r>
        <w:rPr>
          <w:szCs w:val="24"/>
        </w:rPr>
        <w:t>cc:</w:t>
      </w:r>
      <w:r>
        <w:rPr>
          <w:szCs w:val="24"/>
        </w:rPr>
        <w:tab/>
        <w:t>CAFL Trial Panel Members</w:t>
      </w:r>
    </w:p>
    <w:p w:rsidR="00AC30A0" w:rsidRDefault="00AC30A0" w:rsidP="00AC30A0">
      <w:pPr>
        <w:ind w:left="720" w:right="720"/>
        <w:rPr>
          <w:szCs w:val="24"/>
        </w:rPr>
      </w:pPr>
      <w:r>
        <w:rPr>
          <w:szCs w:val="24"/>
        </w:rPr>
        <w:t>CAFL Administrative Attorneys</w:t>
      </w:r>
    </w:p>
    <w:p w:rsidR="00AC30A0" w:rsidRDefault="00AC30A0" w:rsidP="00034B3A">
      <w:pPr>
        <w:ind w:left="720" w:right="720" w:hanging="720"/>
        <w:rPr>
          <w:szCs w:val="24"/>
        </w:rPr>
      </w:pPr>
      <w:r w:rsidRPr="00045951">
        <w:rPr>
          <w:szCs w:val="24"/>
        </w:rPr>
        <w:t>Fr:</w:t>
      </w:r>
      <w:r w:rsidRPr="00045951">
        <w:rPr>
          <w:szCs w:val="24"/>
        </w:rPr>
        <w:tab/>
        <w:t xml:space="preserve">Andrew Cohen, Director of </w:t>
      </w:r>
      <w:r w:rsidR="00952269">
        <w:rPr>
          <w:szCs w:val="24"/>
        </w:rPr>
        <w:t>Appellate Panel</w:t>
      </w:r>
      <w:r w:rsidRPr="00045951">
        <w:rPr>
          <w:szCs w:val="24"/>
        </w:rPr>
        <w:t xml:space="preserve">, CPCS/CAFL </w:t>
      </w:r>
      <w:r>
        <w:rPr>
          <w:szCs w:val="24"/>
        </w:rPr>
        <w:t>Division</w:t>
      </w:r>
    </w:p>
    <w:p w:rsidR="00952269" w:rsidRDefault="00952269" w:rsidP="00AC30A0">
      <w:pPr>
        <w:ind w:right="720"/>
        <w:rPr>
          <w:szCs w:val="24"/>
        </w:rPr>
      </w:pPr>
      <w:r>
        <w:rPr>
          <w:szCs w:val="24"/>
        </w:rPr>
        <w:tab/>
        <w:t>Jaime Prince, Staff Attorney, CAFL</w:t>
      </w:r>
    </w:p>
    <w:p w:rsidR="00D65782" w:rsidRDefault="00AC30A0" w:rsidP="003A441B">
      <w:pPr>
        <w:ind w:right="720"/>
        <w:rPr>
          <w:szCs w:val="24"/>
        </w:rPr>
      </w:pPr>
      <w:r w:rsidRPr="00045951">
        <w:rPr>
          <w:szCs w:val="24"/>
        </w:rPr>
        <w:t>Re:</w:t>
      </w:r>
      <w:r w:rsidRPr="00045951">
        <w:rPr>
          <w:szCs w:val="24"/>
        </w:rPr>
        <w:tab/>
      </w:r>
      <w:r w:rsidR="00D65782">
        <w:rPr>
          <w:szCs w:val="24"/>
        </w:rPr>
        <w:t>Administrative Matters</w:t>
      </w:r>
    </w:p>
    <w:p w:rsidR="00AC30A0" w:rsidRDefault="00AA66BF" w:rsidP="00AC30A0">
      <w:pPr>
        <w:tabs>
          <w:tab w:val="left" w:pos="720"/>
        </w:tabs>
        <w:ind w:right="720"/>
        <w:rPr>
          <w:szCs w:val="24"/>
        </w:rPr>
      </w:pPr>
      <w:r>
        <w:rPr>
          <w:szCs w:val="24"/>
        </w:rPr>
        <w:tab/>
      </w:r>
      <w:r w:rsidR="00AC30A0">
        <w:rPr>
          <w:szCs w:val="24"/>
        </w:rPr>
        <w:t>Recent Rule 1:28 Decisions</w:t>
      </w:r>
    </w:p>
    <w:p w:rsidR="008F616E" w:rsidRDefault="008F616E" w:rsidP="008F616E">
      <w:pPr>
        <w:tabs>
          <w:tab w:val="left" w:pos="720"/>
        </w:tabs>
        <w:ind w:right="720" w:firstLine="720"/>
        <w:rPr>
          <w:szCs w:val="24"/>
        </w:rPr>
      </w:pPr>
      <w:r>
        <w:rPr>
          <w:szCs w:val="24"/>
        </w:rPr>
        <w:t>Writing Tips</w:t>
      </w:r>
      <w:r w:rsidR="00EA1BB5">
        <w:rPr>
          <w:szCs w:val="24"/>
        </w:rPr>
        <w:t xml:space="preserve"> – Adverbs</w:t>
      </w:r>
      <w:r w:rsidR="004E2693">
        <w:rPr>
          <w:szCs w:val="24"/>
        </w:rPr>
        <w:t>;</w:t>
      </w:r>
      <w:r w:rsidR="00EA1BB5">
        <w:rPr>
          <w:szCs w:val="24"/>
        </w:rPr>
        <w:t xml:space="preserve"> Primacy &amp; Recency</w:t>
      </w:r>
    </w:p>
    <w:p w:rsidR="00AB5533" w:rsidRDefault="008F616E" w:rsidP="008F616E">
      <w:pPr>
        <w:tabs>
          <w:tab w:val="left" w:pos="720"/>
        </w:tabs>
        <w:ind w:right="720" w:firstLine="720"/>
        <w:rPr>
          <w:szCs w:val="24"/>
        </w:rPr>
      </w:pPr>
      <w:r>
        <w:rPr>
          <w:szCs w:val="24"/>
        </w:rPr>
        <w:t>Practice</w:t>
      </w:r>
      <w:r w:rsidR="00970E4F">
        <w:rPr>
          <w:szCs w:val="24"/>
        </w:rPr>
        <w:t xml:space="preserve"> Tips</w:t>
      </w:r>
      <w:r w:rsidR="00EA1BB5">
        <w:rPr>
          <w:szCs w:val="24"/>
        </w:rPr>
        <w:t xml:space="preserve"> – Brief Formatting</w:t>
      </w:r>
      <w:r w:rsidR="004E2693">
        <w:rPr>
          <w:szCs w:val="24"/>
        </w:rPr>
        <w:t>;</w:t>
      </w:r>
      <w:r w:rsidR="00EA1BB5">
        <w:rPr>
          <w:szCs w:val="24"/>
        </w:rPr>
        <w:t xml:space="preserve"> Link to New Decisions</w:t>
      </w:r>
    </w:p>
    <w:p w:rsidR="00AC30A0" w:rsidRPr="00045951" w:rsidRDefault="00AC30A0" w:rsidP="00AC30A0">
      <w:pPr>
        <w:tabs>
          <w:tab w:val="left" w:pos="720"/>
        </w:tabs>
        <w:ind w:right="720"/>
        <w:rPr>
          <w:szCs w:val="24"/>
        </w:rPr>
      </w:pPr>
      <w:r w:rsidRPr="00045951">
        <w:rPr>
          <w:szCs w:val="24"/>
        </w:rPr>
        <w:t>Date:</w:t>
      </w:r>
      <w:r w:rsidRPr="00045951">
        <w:rPr>
          <w:szCs w:val="24"/>
        </w:rPr>
        <w:tab/>
      </w:r>
      <w:r w:rsidR="00AE2F62">
        <w:rPr>
          <w:szCs w:val="24"/>
        </w:rPr>
        <w:t>December 8</w:t>
      </w:r>
      <w:r w:rsidR="00452C67">
        <w:rPr>
          <w:szCs w:val="24"/>
        </w:rPr>
        <w:t>, 201</w:t>
      </w:r>
      <w:r w:rsidR="00781EC6">
        <w:rPr>
          <w:szCs w:val="24"/>
        </w:rPr>
        <w:t>5</w:t>
      </w:r>
    </w:p>
    <w:p w:rsidR="00AC30A0" w:rsidRPr="00045951" w:rsidRDefault="00AC30A0" w:rsidP="00AC30A0">
      <w:pPr>
        <w:ind w:right="720"/>
        <w:rPr>
          <w:szCs w:val="24"/>
        </w:rPr>
      </w:pPr>
      <w:r w:rsidRPr="00045951">
        <w:rPr>
          <w:szCs w:val="24"/>
        </w:rPr>
        <w:t>__________________________________________________________________</w:t>
      </w:r>
    </w:p>
    <w:p w:rsidR="00AC30A0" w:rsidRDefault="00AC30A0" w:rsidP="00AC30A0">
      <w:pPr>
        <w:rPr>
          <w:b/>
          <w:szCs w:val="24"/>
          <w:u w:val="single"/>
        </w:rPr>
      </w:pPr>
    </w:p>
    <w:p w:rsidR="00A14DC5" w:rsidRDefault="00A14DC5" w:rsidP="00AC30A0">
      <w:pPr>
        <w:widowControl/>
        <w:rPr>
          <w:b/>
          <w:szCs w:val="24"/>
          <w:u w:val="single"/>
        </w:rPr>
      </w:pPr>
      <w:r>
        <w:rPr>
          <w:b/>
          <w:szCs w:val="24"/>
          <w:u w:val="single"/>
        </w:rPr>
        <w:t>Administrative Matters</w:t>
      </w:r>
    </w:p>
    <w:p w:rsidR="00A14DC5" w:rsidRDefault="00A14DC5" w:rsidP="00AC30A0">
      <w:pPr>
        <w:widowControl/>
        <w:rPr>
          <w:b/>
          <w:szCs w:val="24"/>
          <w:u w:val="single"/>
        </w:rPr>
      </w:pPr>
    </w:p>
    <w:p w:rsidR="00FD45C7" w:rsidRDefault="00FD45C7" w:rsidP="00AC30A0">
      <w:pPr>
        <w:widowControl/>
        <w:rPr>
          <w:szCs w:val="24"/>
          <w:u w:val="single"/>
        </w:rPr>
      </w:pPr>
      <w:r>
        <w:rPr>
          <w:szCs w:val="24"/>
          <w:u w:val="single"/>
        </w:rPr>
        <w:t>Farewell to Mimi</w:t>
      </w:r>
    </w:p>
    <w:p w:rsidR="00FD45C7" w:rsidRDefault="00FD45C7" w:rsidP="00AC30A0">
      <w:pPr>
        <w:widowControl/>
        <w:rPr>
          <w:szCs w:val="24"/>
          <w:u w:val="single"/>
        </w:rPr>
      </w:pPr>
    </w:p>
    <w:p w:rsidR="00FD45C7" w:rsidRDefault="00FD45C7" w:rsidP="00AC30A0">
      <w:pPr>
        <w:widowControl/>
        <w:rPr>
          <w:szCs w:val="24"/>
        </w:rPr>
      </w:pPr>
      <w:r>
        <w:rPr>
          <w:szCs w:val="24"/>
        </w:rPr>
        <w:t xml:space="preserve">As some of you know, Mimi Wong will be leaving CAFL after nine years (seven in the Boston CAFL trial office).  She’s heading to DCF, where she will be handling </w:t>
      </w:r>
      <w:r w:rsidR="00AE2F62">
        <w:rPr>
          <w:szCs w:val="24"/>
        </w:rPr>
        <w:t xml:space="preserve">Unaccompanied Refugee Minors </w:t>
      </w:r>
      <w:r>
        <w:rPr>
          <w:szCs w:val="24"/>
        </w:rPr>
        <w:t>cases in the Suffolk County Probate and Family Court.  We wish her the best of luck, and we’re glad she’s not going too far away.</w:t>
      </w:r>
    </w:p>
    <w:p w:rsidR="00FD45C7" w:rsidRDefault="00FD45C7" w:rsidP="00AC30A0">
      <w:pPr>
        <w:widowControl/>
        <w:rPr>
          <w:szCs w:val="24"/>
        </w:rPr>
      </w:pPr>
    </w:p>
    <w:p w:rsidR="00FD45C7" w:rsidRPr="00FD45C7" w:rsidRDefault="00FD45C7" w:rsidP="00AC30A0">
      <w:pPr>
        <w:widowControl/>
        <w:rPr>
          <w:szCs w:val="24"/>
        </w:rPr>
      </w:pPr>
      <w:r>
        <w:rPr>
          <w:szCs w:val="24"/>
        </w:rPr>
        <w:t>In the meantime, Jaime will be handling appellate assignments.  She can be reached at jprince@publiccounsel.net.</w:t>
      </w:r>
    </w:p>
    <w:p w:rsidR="00FD45C7" w:rsidRDefault="00FD45C7" w:rsidP="00AC30A0">
      <w:pPr>
        <w:widowControl/>
        <w:rPr>
          <w:szCs w:val="24"/>
          <w:u w:val="single"/>
        </w:rPr>
      </w:pPr>
    </w:p>
    <w:p w:rsidR="00DA6E5C" w:rsidRDefault="00DA6E5C" w:rsidP="00AC30A0">
      <w:pPr>
        <w:widowControl/>
        <w:rPr>
          <w:szCs w:val="24"/>
          <w:u w:val="single"/>
        </w:rPr>
      </w:pPr>
      <w:r>
        <w:rPr>
          <w:szCs w:val="24"/>
          <w:u w:val="single"/>
        </w:rPr>
        <w:t>New Website</w:t>
      </w:r>
    </w:p>
    <w:p w:rsidR="00DA6E5C" w:rsidRDefault="00DA6E5C" w:rsidP="00AC30A0">
      <w:pPr>
        <w:widowControl/>
        <w:rPr>
          <w:szCs w:val="24"/>
          <w:u w:val="single"/>
        </w:rPr>
      </w:pPr>
    </w:p>
    <w:p w:rsidR="00D26473" w:rsidRDefault="002E3EC3" w:rsidP="00AC30A0">
      <w:pPr>
        <w:widowControl/>
        <w:rPr>
          <w:szCs w:val="24"/>
        </w:rPr>
      </w:pPr>
      <w:r>
        <w:rPr>
          <w:szCs w:val="24"/>
        </w:rPr>
        <w:t>Please check out t</w:t>
      </w:r>
      <w:r w:rsidR="00DA6E5C">
        <w:rPr>
          <w:szCs w:val="24"/>
        </w:rPr>
        <w:t xml:space="preserve">he </w:t>
      </w:r>
      <w:r>
        <w:rPr>
          <w:szCs w:val="24"/>
        </w:rPr>
        <w:t>revamped</w:t>
      </w:r>
      <w:r w:rsidR="00DA6E5C">
        <w:rPr>
          <w:szCs w:val="24"/>
        </w:rPr>
        <w:t xml:space="preserve"> CPCS website at </w:t>
      </w:r>
      <w:hyperlink r:id="rId9" w:history="1">
        <w:r w:rsidR="00DA6E5C" w:rsidRPr="001D3D5D">
          <w:rPr>
            <w:rStyle w:val="Hyperlink"/>
            <w:szCs w:val="24"/>
          </w:rPr>
          <w:t>www.publiccounsel.net</w:t>
        </w:r>
      </w:hyperlink>
      <w:r w:rsidR="00DA6E5C">
        <w:rPr>
          <w:szCs w:val="24"/>
        </w:rPr>
        <w:t>.  The really, really good stuff is on the CAFL appellate panel page</w:t>
      </w:r>
      <w:r w:rsidR="00F53F56">
        <w:rPr>
          <w:szCs w:val="24"/>
        </w:rPr>
        <w:t xml:space="preserve"> (</w:t>
      </w:r>
      <w:r w:rsidR="00DA6E5C">
        <w:rPr>
          <w:szCs w:val="24"/>
        </w:rPr>
        <w:t xml:space="preserve">if I may say so), at </w:t>
      </w:r>
      <w:hyperlink r:id="rId10" w:history="1">
        <w:r w:rsidR="00DA6E5C" w:rsidRPr="001D3D5D">
          <w:rPr>
            <w:rStyle w:val="Hyperlink"/>
            <w:szCs w:val="24"/>
          </w:rPr>
          <w:t>http://www.publiccounsel.net/cafl/private-counsel-appellate-panel/</w:t>
        </w:r>
      </w:hyperlink>
      <w:r w:rsidR="00DA6E5C">
        <w:rPr>
          <w:szCs w:val="24"/>
        </w:rPr>
        <w:t>.</w:t>
      </w:r>
      <w:r w:rsidR="00F53F56">
        <w:rPr>
          <w:szCs w:val="24"/>
        </w:rPr>
        <w:t xml:space="preserve">  Under “Current Appellate Panel Members,” click on “Appellate Practice Tools and Resources.”  </w:t>
      </w:r>
      <w:r w:rsidR="00D26473">
        <w:rPr>
          <w:szCs w:val="24"/>
        </w:rPr>
        <w:t>Among other things, you’ll find:</w:t>
      </w:r>
    </w:p>
    <w:p w:rsidR="00D26473" w:rsidRDefault="00D26473" w:rsidP="00AC30A0">
      <w:pPr>
        <w:widowControl/>
        <w:rPr>
          <w:szCs w:val="24"/>
        </w:rPr>
      </w:pPr>
    </w:p>
    <w:p w:rsidR="00D26473" w:rsidRPr="00D26473" w:rsidRDefault="00F53F56" w:rsidP="00D26473">
      <w:pPr>
        <w:pStyle w:val="ListParagraph"/>
        <w:widowControl/>
        <w:numPr>
          <w:ilvl w:val="0"/>
          <w:numId w:val="45"/>
        </w:numPr>
        <w:rPr>
          <w:szCs w:val="24"/>
        </w:rPr>
      </w:pPr>
      <w:r w:rsidRPr="00D26473">
        <w:rPr>
          <w:szCs w:val="24"/>
        </w:rPr>
        <w:t>links to the Rules of Appellate Procedure (and other rules), the Appeals Court</w:t>
      </w:r>
      <w:r w:rsidR="00D26473">
        <w:rPr>
          <w:szCs w:val="24"/>
        </w:rPr>
        <w:t>, the</w:t>
      </w:r>
      <w:r w:rsidR="005B009F">
        <w:rPr>
          <w:szCs w:val="24"/>
        </w:rPr>
        <w:t xml:space="preserve"> SJC, the Juvenile Court</w:t>
      </w:r>
      <w:r w:rsidRPr="00D26473">
        <w:rPr>
          <w:szCs w:val="24"/>
        </w:rPr>
        <w:t>, and relevant statutes</w:t>
      </w:r>
    </w:p>
    <w:p w:rsidR="00D26473" w:rsidRDefault="00D26473" w:rsidP="00D26473">
      <w:pPr>
        <w:pStyle w:val="ListParagraph"/>
        <w:widowControl/>
        <w:numPr>
          <w:ilvl w:val="0"/>
          <w:numId w:val="45"/>
        </w:numPr>
        <w:rPr>
          <w:szCs w:val="24"/>
        </w:rPr>
      </w:pPr>
      <w:r>
        <w:rPr>
          <w:szCs w:val="24"/>
        </w:rPr>
        <w:t xml:space="preserve">dozens of </w:t>
      </w:r>
      <w:r w:rsidR="00F53F56" w:rsidRPr="00D26473">
        <w:rPr>
          <w:szCs w:val="24"/>
        </w:rPr>
        <w:t>model motions</w:t>
      </w:r>
      <w:r>
        <w:rPr>
          <w:szCs w:val="24"/>
        </w:rPr>
        <w:t>, oppositions, affidavits</w:t>
      </w:r>
      <w:r w:rsidR="00F53F56" w:rsidRPr="00D26473">
        <w:rPr>
          <w:szCs w:val="24"/>
        </w:rPr>
        <w:t>, and letters</w:t>
      </w:r>
    </w:p>
    <w:p w:rsidR="00D26473" w:rsidRPr="00D26473" w:rsidRDefault="00D26473" w:rsidP="00D26473">
      <w:pPr>
        <w:pStyle w:val="ListParagraph"/>
        <w:widowControl/>
        <w:numPr>
          <w:ilvl w:val="0"/>
          <w:numId w:val="45"/>
        </w:numPr>
        <w:rPr>
          <w:szCs w:val="24"/>
        </w:rPr>
      </w:pPr>
      <w:r>
        <w:rPr>
          <w:szCs w:val="24"/>
        </w:rPr>
        <w:t xml:space="preserve">dozens of model briefs, FAR applications and oppositions, and properly-formatted templates for briefs (covers, tables, addenda, etc.) </w:t>
      </w:r>
    </w:p>
    <w:p w:rsidR="00D26473" w:rsidRPr="00D26473" w:rsidRDefault="00F53F56" w:rsidP="00D26473">
      <w:pPr>
        <w:pStyle w:val="ListParagraph"/>
        <w:widowControl/>
        <w:numPr>
          <w:ilvl w:val="0"/>
          <w:numId w:val="45"/>
        </w:numPr>
        <w:rPr>
          <w:szCs w:val="24"/>
        </w:rPr>
      </w:pPr>
      <w:r w:rsidRPr="00D26473">
        <w:rPr>
          <w:szCs w:val="24"/>
        </w:rPr>
        <w:t>appellate bulletins</w:t>
      </w:r>
      <w:r w:rsidR="00D26473">
        <w:rPr>
          <w:szCs w:val="24"/>
        </w:rPr>
        <w:t xml:space="preserve"> from 2008 to 2014</w:t>
      </w:r>
    </w:p>
    <w:p w:rsidR="00D26473" w:rsidRPr="00D26473" w:rsidRDefault="00F53F56" w:rsidP="00D26473">
      <w:pPr>
        <w:pStyle w:val="ListParagraph"/>
        <w:widowControl/>
        <w:numPr>
          <w:ilvl w:val="0"/>
          <w:numId w:val="45"/>
        </w:numPr>
        <w:rPr>
          <w:szCs w:val="24"/>
        </w:rPr>
      </w:pPr>
      <w:r w:rsidRPr="00D26473">
        <w:rPr>
          <w:szCs w:val="24"/>
        </w:rPr>
        <w:lastRenderedPageBreak/>
        <w:t xml:space="preserve">summaries of recent decisions and a link to the Reporter of Decisions so you can search (for free) for published and unpublished </w:t>
      </w:r>
      <w:r w:rsidR="00D26473">
        <w:rPr>
          <w:szCs w:val="24"/>
        </w:rPr>
        <w:t>cases</w:t>
      </w:r>
      <w:r w:rsidRPr="00D26473">
        <w:rPr>
          <w:szCs w:val="24"/>
        </w:rPr>
        <w:t xml:space="preserve">; and </w:t>
      </w:r>
    </w:p>
    <w:p w:rsidR="00D26473" w:rsidRPr="00D26473" w:rsidRDefault="00F53F56" w:rsidP="00D26473">
      <w:pPr>
        <w:pStyle w:val="ListParagraph"/>
        <w:widowControl/>
        <w:numPr>
          <w:ilvl w:val="0"/>
          <w:numId w:val="45"/>
        </w:numPr>
        <w:rPr>
          <w:szCs w:val="24"/>
        </w:rPr>
      </w:pPr>
      <w:r w:rsidRPr="00D26473">
        <w:rPr>
          <w:szCs w:val="24"/>
        </w:rPr>
        <w:t xml:space="preserve">legal research memos on a variety of </w:t>
      </w:r>
      <w:r w:rsidR="00D26473">
        <w:rPr>
          <w:szCs w:val="24"/>
        </w:rPr>
        <w:t xml:space="preserve">trial, appellate, and child welfare </w:t>
      </w:r>
      <w:r w:rsidRPr="00D26473">
        <w:rPr>
          <w:szCs w:val="24"/>
        </w:rPr>
        <w:t xml:space="preserve">topics.  </w:t>
      </w:r>
    </w:p>
    <w:p w:rsidR="00D26473" w:rsidRDefault="00D26473" w:rsidP="00AC30A0">
      <w:pPr>
        <w:widowControl/>
        <w:rPr>
          <w:szCs w:val="24"/>
        </w:rPr>
      </w:pPr>
    </w:p>
    <w:p w:rsidR="00DA6E5C" w:rsidRDefault="00F53F56" w:rsidP="00AC30A0">
      <w:pPr>
        <w:widowControl/>
        <w:rPr>
          <w:szCs w:val="24"/>
        </w:rPr>
      </w:pPr>
      <w:r>
        <w:rPr>
          <w:szCs w:val="24"/>
        </w:rPr>
        <w:t xml:space="preserve">Please explore </w:t>
      </w:r>
      <w:r w:rsidR="005B009F">
        <w:rPr>
          <w:szCs w:val="24"/>
        </w:rPr>
        <w:t>our site</w:t>
      </w:r>
      <w:r>
        <w:rPr>
          <w:szCs w:val="24"/>
        </w:rPr>
        <w:t xml:space="preserve"> and save it in your bookmarks/favorites; there’s a ton of material there.</w:t>
      </w:r>
    </w:p>
    <w:p w:rsidR="00DA6E5C" w:rsidRPr="00DA6E5C" w:rsidRDefault="00DA6E5C" w:rsidP="00AC30A0">
      <w:pPr>
        <w:widowControl/>
        <w:rPr>
          <w:szCs w:val="24"/>
        </w:rPr>
      </w:pPr>
    </w:p>
    <w:p w:rsidR="00250E96" w:rsidRPr="0020075D" w:rsidRDefault="00112710" w:rsidP="00AC30A0">
      <w:pPr>
        <w:widowControl/>
        <w:rPr>
          <w:szCs w:val="24"/>
          <w:u w:val="single"/>
        </w:rPr>
      </w:pPr>
      <w:r>
        <w:rPr>
          <w:szCs w:val="24"/>
          <w:u w:val="single"/>
        </w:rPr>
        <w:t>Issue/</w:t>
      </w:r>
      <w:r w:rsidR="00234B9D">
        <w:rPr>
          <w:szCs w:val="24"/>
          <w:u w:val="single"/>
        </w:rPr>
        <w:t>Resource</w:t>
      </w:r>
      <w:r w:rsidR="00250E96" w:rsidRPr="0020075D">
        <w:rPr>
          <w:szCs w:val="24"/>
          <w:u w:val="single"/>
        </w:rPr>
        <w:t xml:space="preserve"> Bank</w:t>
      </w:r>
    </w:p>
    <w:p w:rsidR="00250E96" w:rsidRDefault="00250E96" w:rsidP="00AC30A0">
      <w:pPr>
        <w:widowControl/>
        <w:rPr>
          <w:szCs w:val="24"/>
        </w:rPr>
      </w:pPr>
    </w:p>
    <w:p w:rsidR="00234B9D" w:rsidRDefault="00EF2CEF" w:rsidP="00220ADD">
      <w:pPr>
        <w:widowControl/>
        <w:rPr>
          <w:szCs w:val="24"/>
        </w:rPr>
      </w:pPr>
      <w:r>
        <w:rPr>
          <w:szCs w:val="24"/>
        </w:rPr>
        <w:t xml:space="preserve">The first stage of our Issue/Resource </w:t>
      </w:r>
      <w:r w:rsidR="00220ADD">
        <w:rPr>
          <w:szCs w:val="24"/>
        </w:rPr>
        <w:t>Bank</w:t>
      </w:r>
      <w:r>
        <w:rPr>
          <w:szCs w:val="24"/>
        </w:rPr>
        <w:t xml:space="preserve"> is </w:t>
      </w:r>
      <w:r w:rsidR="005B009F">
        <w:rPr>
          <w:szCs w:val="24"/>
        </w:rPr>
        <w:t>done</w:t>
      </w:r>
      <w:r w:rsidR="00B40C29">
        <w:rPr>
          <w:szCs w:val="24"/>
        </w:rPr>
        <w:t xml:space="preserve">.  </w:t>
      </w:r>
      <w:r w:rsidR="00737EAE">
        <w:rPr>
          <w:szCs w:val="24"/>
        </w:rPr>
        <w:t xml:space="preserve">Our “Due Process” files </w:t>
      </w:r>
      <w:r w:rsidR="00BB2D9A">
        <w:rPr>
          <w:szCs w:val="24"/>
        </w:rPr>
        <w:t xml:space="preserve">– which we </w:t>
      </w:r>
      <w:r w:rsidR="00DA6E5C">
        <w:rPr>
          <w:szCs w:val="24"/>
        </w:rPr>
        <w:t>have scanned and can send to you as</w:t>
      </w:r>
      <w:r w:rsidR="00BB2D9A">
        <w:rPr>
          <w:szCs w:val="24"/>
        </w:rPr>
        <w:t xml:space="preserve"> PDF attachments –</w:t>
      </w:r>
      <w:r>
        <w:rPr>
          <w:szCs w:val="24"/>
        </w:rPr>
        <w:t xml:space="preserve"> </w:t>
      </w:r>
      <w:r w:rsidR="00737EAE">
        <w:rPr>
          <w:szCs w:val="24"/>
        </w:rPr>
        <w:t>include</w:t>
      </w:r>
      <w:r>
        <w:rPr>
          <w:szCs w:val="24"/>
        </w:rPr>
        <w:t xml:space="preserve"> portions of briefs, research memos, Massachusetts and out-of-state cases, law review articles, and many other materials.  Our materials include</w:t>
      </w:r>
      <w:r w:rsidR="00737EAE">
        <w:rPr>
          <w:szCs w:val="24"/>
        </w:rPr>
        <w:t xml:space="preserve"> </w:t>
      </w:r>
      <w:r>
        <w:rPr>
          <w:szCs w:val="24"/>
        </w:rPr>
        <w:t xml:space="preserve">all aspects of procedural due process, including the </w:t>
      </w:r>
      <w:r w:rsidR="00737EAE">
        <w:rPr>
          <w:szCs w:val="24"/>
        </w:rPr>
        <w:t>right to</w:t>
      </w:r>
      <w:r>
        <w:rPr>
          <w:szCs w:val="24"/>
        </w:rPr>
        <w:t xml:space="preserve"> counsel, the right to</w:t>
      </w:r>
      <w:r w:rsidR="00737EAE">
        <w:rPr>
          <w:szCs w:val="24"/>
        </w:rPr>
        <w:t xml:space="preserve"> notice,</w:t>
      </w:r>
      <w:r>
        <w:rPr>
          <w:szCs w:val="24"/>
        </w:rPr>
        <w:t xml:space="preserve"> the </w:t>
      </w:r>
      <w:r w:rsidR="00737EAE">
        <w:rPr>
          <w:szCs w:val="24"/>
        </w:rPr>
        <w:t>right to participate,</w:t>
      </w:r>
      <w:r>
        <w:rPr>
          <w:szCs w:val="24"/>
        </w:rPr>
        <w:t xml:space="preserve"> judicial bias, structural error, </w:t>
      </w:r>
      <w:r w:rsidR="00737EAE">
        <w:rPr>
          <w:szCs w:val="24"/>
        </w:rPr>
        <w:t>and many other topics</w:t>
      </w:r>
      <w:r w:rsidR="00001855">
        <w:rPr>
          <w:szCs w:val="24"/>
        </w:rPr>
        <w:t xml:space="preserve"> under the umbrella of “Due Process.”</w:t>
      </w:r>
      <w:r>
        <w:rPr>
          <w:szCs w:val="24"/>
        </w:rPr>
        <w:t xml:space="preserve">  Just ask; if we have it, we’ll send it to you.</w:t>
      </w:r>
      <w:r w:rsidR="005B009F">
        <w:rPr>
          <w:szCs w:val="24"/>
        </w:rPr>
        <w:t xml:space="preserve">  Here is a link to the Due Process Issue Bank table of contents:</w:t>
      </w:r>
    </w:p>
    <w:p w:rsidR="005B009F" w:rsidRDefault="005B009F" w:rsidP="00220ADD">
      <w:pPr>
        <w:widowControl/>
        <w:rPr>
          <w:szCs w:val="24"/>
        </w:rPr>
      </w:pPr>
    </w:p>
    <w:p w:rsidR="005B009F" w:rsidRDefault="00350843" w:rsidP="00B227C0">
      <w:pPr>
        <w:widowControl/>
        <w:ind w:left="720"/>
        <w:rPr>
          <w:szCs w:val="24"/>
        </w:rPr>
      </w:pPr>
      <w:hyperlink r:id="rId11" w:history="1">
        <w:r w:rsidR="00B227C0" w:rsidRPr="008B2FFD">
          <w:rPr>
            <w:rStyle w:val="Hyperlink"/>
            <w:szCs w:val="24"/>
          </w:rPr>
          <w:t>www.publiccounsel.net/cafl/professional/appellate-practice-tools-and-resources/issueresource-bank/</w:t>
        </w:r>
      </w:hyperlink>
    </w:p>
    <w:p w:rsidR="00AA66BF" w:rsidRDefault="00AA66BF" w:rsidP="00AC30A0">
      <w:pPr>
        <w:widowControl/>
        <w:rPr>
          <w:szCs w:val="24"/>
        </w:rPr>
      </w:pPr>
    </w:p>
    <w:p w:rsidR="009639C3" w:rsidRDefault="00AA66BF" w:rsidP="00AC30A0">
      <w:pPr>
        <w:widowControl/>
        <w:rPr>
          <w:szCs w:val="24"/>
        </w:rPr>
      </w:pPr>
      <w:r w:rsidRPr="00AA66BF">
        <w:rPr>
          <w:szCs w:val="24"/>
          <w:u w:val="single"/>
        </w:rPr>
        <w:t>Moot Courts</w:t>
      </w:r>
      <w:r>
        <w:rPr>
          <w:szCs w:val="24"/>
        </w:rPr>
        <w:t xml:space="preserve">  </w:t>
      </w:r>
    </w:p>
    <w:p w:rsidR="009639C3" w:rsidRDefault="009639C3" w:rsidP="00AC30A0">
      <w:pPr>
        <w:widowControl/>
        <w:rPr>
          <w:szCs w:val="24"/>
        </w:rPr>
      </w:pPr>
    </w:p>
    <w:p w:rsidR="00AA66BF" w:rsidRDefault="007A01C4" w:rsidP="00AC30A0">
      <w:pPr>
        <w:widowControl/>
        <w:rPr>
          <w:szCs w:val="24"/>
        </w:rPr>
      </w:pPr>
      <w:r>
        <w:rPr>
          <w:szCs w:val="24"/>
        </w:rPr>
        <w:t>I</w:t>
      </w:r>
      <w:r w:rsidR="00B40C29">
        <w:rPr>
          <w:szCs w:val="24"/>
        </w:rPr>
        <w:t xml:space="preserve">f you have an upcoming </w:t>
      </w:r>
      <w:r w:rsidR="00737EAE">
        <w:rPr>
          <w:szCs w:val="24"/>
        </w:rPr>
        <w:t>oral</w:t>
      </w:r>
      <w:r w:rsidR="0094473F">
        <w:rPr>
          <w:szCs w:val="24"/>
        </w:rPr>
        <w:t xml:space="preserve"> </w:t>
      </w:r>
      <w:r w:rsidR="00B40C29">
        <w:rPr>
          <w:szCs w:val="24"/>
        </w:rPr>
        <w:t xml:space="preserve">argument </w:t>
      </w:r>
      <w:r w:rsidR="00AA66BF">
        <w:rPr>
          <w:szCs w:val="24"/>
        </w:rPr>
        <w:t>and want to be moot-courted, call us.  Under some circumstances</w:t>
      </w:r>
      <w:r w:rsidR="009639C3">
        <w:rPr>
          <w:szCs w:val="24"/>
        </w:rPr>
        <w:t xml:space="preserve"> we can come out to your office or use </w:t>
      </w:r>
      <w:r w:rsidR="0020075D">
        <w:rPr>
          <w:szCs w:val="24"/>
        </w:rPr>
        <w:t xml:space="preserve">CAFL </w:t>
      </w:r>
      <w:r w:rsidR="009639C3">
        <w:rPr>
          <w:szCs w:val="24"/>
        </w:rPr>
        <w:t xml:space="preserve">staff space in Worcester. </w:t>
      </w:r>
      <w:r w:rsidR="002F3363">
        <w:rPr>
          <w:szCs w:val="24"/>
        </w:rPr>
        <w:t xml:space="preserve"> Remember, if you moot-court with someone from our administrative office, you will receive 2 CLE credits for the current fiscal year.</w:t>
      </w:r>
    </w:p>
    <w:p w:rsidR="006C7884" w:rsidRDefault="006C7884" w:rsidP="00AC30A0">
      <w:pPr>
        <w:widowControl/>
        <w:rPr>
          <w:szCs w:val="24"/>
        </w:rPr>
      </w:pPr>
    </w:p>
    <w:p w:rsidR="00AC30A0" w:rsidRDefault="00AA7D35" w:rsidP="00AC30A0">
      <w:pPr>
        <w:widowControl/>
        <w:rPr>
          <w:b/>
          <w:szCs w:val="24"/>
          <w:u w:val="single"/>
        </w:rPr>
      </w:pPr>
      <w:r>
        <w:rPr>
          <w:b/>
          <w:szCs w:val="24"/>
          <w:u w:val="single"/>
        </w:rPr>
        <w:t>Recent</w:t>
      </w:r>
      <w:r w:rsidR="00AC30A0">
        <w:rPr>
          <w:b/>
          <w:szCs w:val="24"/>
          <w:u w:val="single"/>
        </w:rPr>
        <w:t xml:space="preserve"> Rule 1:28 Decisions</w:t>
      </w:r>
    </w:p>
    <w:p w:rsidR="00544C81" w:rsidRDefault="00544C81" w:rsidP="00AC30A0">
      <w:pPr>
        <w:widowControl/>
        <w:rPr>
          <w:b/>
          <w:szCs w:val="24"/>
          <w:u w:val="single"/>
        </w:rPr>
      </w:pPr>
    </w:p>
    <w:p w:rsidR="00544C81" w:rsidRPr="00544C81" w:rsidRDefault="00544C81" w:rsidP="00AC30A0">
      <w:pPr>
        <w:widowControl/>
        <w:rPr>
          <w:szCs w:val="24"/>
        </w:rPr>
      </w:pPr>
      <w:r>
        <w:rPr>
          <w:szCs w:val="24"/>
        </w:rPr>
        <w:t>This bulletin catches us up through December 31, 2014.</w:t>
      </w:r>
      <w:r w:rsidR="005B009F">
        <w:rPr>
          <w:szCs w:val="24"/>
        </w:rPr>
        <w:t xml:space="preserve">  (Yes, I know; </w:t>
      </w:r>
      <w:r w:rsidR="00FC40C6">
        <w:rPr>
          <w:szCs w:val="24"/>
        </w:rPr>
        <w:t>almost a year</w:t>
      </w:r>
      <w:r w:rsidR="005B009F">
        <w:rPr>
          <w:szCs w:val="24"/>
        </w:rPr>
        <w:t xml:space="preserve"> behind.</w:t>
      </w:r>
      <w:r>
        <w:rPr>
          <w:szCs w:val="24"/>
        </w:rPr>
        <w:t xml:space="preserve">  </w:t>
      </w:r>
      <w:r w:rsidR="005B009F">
        <w:rPr>
          <w:szCs w:val="24"/>
        </w:rPr>
        <w:t xml:space="preserve">Mea culpa.)  </w:t>
      </w:r>
      <w:r>
        <w:rPr>
          <w:szCs w:val="24"/>
        </w:rPr>
        <w:t>If we left out one of your Rule 1:28 decisions and it has a useful tidbit in it, please let us know.</w:t>
      </w:r>
    </w:p>
    <w:p w:rsidR="00AC30A0" w:rsidRDefault="00AC30A0" w:rsidP="00AC30A0">
      <w:pPr>
        <w:widowControl/>
        <w:rPr>
          <w:szCs w:val="24"/>
        </w:rPr>
      </w:pPr>
    </w:p>
    <w:p w:rsidR="00F53F56" w:rsidRDefault="00F53F56" w:rsidP="00F53F56">
      <w:r>
        <w:t>Remember, if</w:t>
      </w:r>
      <w:r w:rsidRPr="00846B37">
        <w:t xml:space="preserve"> you cite to a </w:t>
      </w:r>
      <w:r>
        <w:t xml:space="preserve">Rule </w:t>
      </w:r>
      <w:r w:rsidRPr="00846B37">
        <w:t>1:28 decision in your brief</w:t>
      </w:r>
      <w:r>
        <w:t xml:space="preserve"> or </w:t>
      </w:r>
      <w:r w:rsidRPr="00846B37">
        <w:t>motion, you must</w:t>
      </w:r>
      <w:r>
        <w:t>:</w:t>
      </w:r>
    </w:p>
    <w:p w:rsidR="00EA1BB5" w:rsidRDefault="00EA1BB5" w:rsidP="00F53F56"/>
    <w:p w:rsidR="00F53F56" w:rsidRDefault="00F53F56" w:rsidP="00F53F56">
      <w:pPr>
        <w:ind w:left="1080" w:hanging="360"/>
      </w:pPr>
      <w:r>
        <w:t xml:space="preserve">(a) </w:t>
      </w:r>
      <w:r w:rsidRPr="00846B37">
        <w:t>attach a copy of the decision as an addendum</w:t>
      </w:r>
      <w:r>
        <w:t xml:space="preserve">; and </w:t>
      </w:r>
    </w:p>
    <w:p w:rsidR="00F53F56" w:rsidRDefault="00F53F56" w:rsidP="00F53F56">
      <w:pPr>
        <w:ind w:left="1080" w:hanging="360"/>
      </w:pPr>
      <w:r>
        <w:t>(b) cite the page of the Appeals Court reporter that lists the decision and a notation that the decision was issued pursuant to Rule 1:28</w:t>
      </w:r>
      <w:r w:rsidRPr="00846B37">
        <w:t xml:space="preserve">.  </w:t>
      </w:r>
      <w:r>
        <w:t xml:space="preserve">In your brief or motion, you do not need to cite the docket number, month or day.  </w:t>
      </w:r>
      <w:r w:rsidRPr="00D30523">
        <w:rPr>
          <w:b/>
        </w:rPr>
        <w:t xml:space="preserve">For example:  </w:t>
      </w:r>
      <w:r w:rsidRPr="00D30523">
        <w:rPr>
          <w:b/>
          <w:u w:val="single"/>
        </w:rPr>
        <w:t>Care and Protection of Priscilla</w:t>
      </w:r>
      <w:r w:rsidRPr="00D30523">
        <w:rPr>
          <w:b/>
        </w:rPr>
        <w:t>, 79 Mass. App. Ct. 1101 (2011) (Mass. App. Ct. Rule 1:28).</w:t>
      </w:r>
      <w:r>
        <w:t xml:space="preserve">  Please note that we’re using the docket numbers and dates of issuance below just to make it easier for you to find the decisions online.</w:t>
      </w:r>
    </w:p>
    <w:p w:rsidR="00F53F56" w:rsidRDefault="00F53F56" w:rsidP="00F53F56"/>
    <w:p w:rsidR="00F53F56" w:rsidRPr="0094473F" w:rsidRDefault="00F53F56" w:rsidP="00F53F56">
      <w:r w:rsidRPr="00D30523">
        <w:t>Please note that the Massachusetts Courts website has changed.</w:t>
      </w:r>
      <w:r>
        <w:t xml:space="preserve">  Rule </w:t>
      </w:r>
      <w:r w:rsidRPr="00846B37">
        <w:t>1:28</w:t>
      </w:r>
      <w:r>
        <w:t xml:space="preserve"> decisions are now </w:t>
      </w:r>
      <w:r w:rsidRPr="00846B37">
        <w:t>available on the web at:</w:t>
      </w:r>
      <w:r w:rsidRPr="00EE40C8">
        <w:t xml:space="preserve"> </w:t>
      </w:r>
      <w:hyperlink r:id="rId12" w:history="1">
        <w:r w:rsidRPr="00510850">
          <w:rPr>
            <w:rStyle w:val="Hyperlink"/>
          </w:rPr>
          <w:t>https://www.lexisnexis.com/clients/macourts/</w:t>
        </w:r>
      </w:hyperlink>
      <w:r>
        <w:t xml:space="preserve">.  (Check off that you agree to the terms of usage, and click on “Begin Searching Opinions,” then select “Search by Party Name” (on the left border), then select “Appeals Court Unpublished Decisions.” To find child </w:t>
      </w:r>
      <w:r>
        <w:lastRenderedPageBreak/>
        <w:t>welfare Rule 1:28 decisions, type in the first “party” box “adoption or care or custody or guardianship.”  Unfortunately, the free LEXIS search engine limits you to the most recent 25 cases.</w:t>
      </w:r>
      <w:r w:rsidRPr="00D227A3">
        <w:t xml:space="preserve"> </w:t>
      </w:r>
      <w:r>
        <w:t xml:space="preserve">To find a specific case, enter the case name.  </w:t>
      </w:r>
    </w:p>
    <w:p w:rsidR="003A441B" w:rsidRDefault="003A441B" w:rsidP="003A441B"/>
    <w:p w:rsidR="00C61F07" w:rsidRDefault="00781EC6" w:rsidP="00C61F07">
      <w:pPr>
        <w:pStyle w:val="ListParagraph"/>
        <w:numPr>
          <w:ilvl w:val="0"/>
          <w:numId w:val="27"/>
        </w:numPr>
        <w:snapToGrid w:val="0"/>
        <w:ind w:left="0" w:firstLine="0"/>
      </w:pPr>
      <w:r w:rsidRPr="00DE72EA">
        <w:rPr>
          <w:u w:val="single"/>
        </w:rPr>
        <w:t>Adoption of Ray</w:t>
      </w:r>
      <w:r>
        <w:t>, 86 Mass. App. Ct. 1104, No. 13-P-1868 (July 17, 2014).  Following a trial, the Juvenile Court found the father unfit and terminated his parental rights.  The father argue</w:t>
      </w:r>
      <w:r w:rsidR="004C060D">
        <w:t>d</w:t>
      </w:r>
      <w:r>
        <w:t xml:space="preserve"> that the judge’s </w:t>
      </w:r>
      <w:r w:rsidR="002E3EC3">
        <w:t>side-bar comments about settlement</w:t>
      </w:r>
      <w:r w:rsidR="00E96116">
        <w:t xml:space="preserve"> deprived </w:t>
      </w:r>
      <w:r>
        <w:t xml:space="preserve">him of a fair trial.  The Appeals Court </w:t>
      </w:r>
      <w:r w:rsidR="00E96116">
        <w:t>disagreed</w:t>
      </w:r>
      <w:r>
        <w:t xml:space="preserve">.  </w:t>
      </w:r>
      <w:r w:rsidR="00FE3411">
        <w:t xml:space="preserve">The comments in question occurred after eight days of </w:t>
      </w:r>
      <w:r w:rsidR="00E96116">
        <w:t xml:space="preserve">a nine-day </w:t>
      </w:r>
      <w:r w:rsidR="00FE3411">
        <w:t>trial</w:t>
      </w:r>
      <w:r w:rsidR="00E96116">
        <w:t>.  At that</w:t>
      </w:r>
      <w:r w:rsidR="00C35D93">
        <w:t xml:space="preserve"> time</w:t>
      </w:r>
      <w:r w:rsidR="00E96116">
        <w:t>,</w:t>
      </w:r>
      <w:r w:rsidR="00C35D93">
        <w:t xml:space="preserve"> only the </w:t>
      </w:r>
      <w:r w:rsidR="00E96116">
        <w:t>potential admission</w:t>
      </w:r>
      <w:r w:rsidR="00C35D93">
        <w:t xml:space="preserve"> of a police report</w:t>
      </w:r>
      <w:r w:rsidR="00E96116">
        <w:t xml:space="preserve"> and limited rebuttal testimony by father</w:t>
      </w:r>
      <w:r w:rsidR="00C35D93">
        <w:t xml:space="preserve"> remained</w:t>
      </w:r>
      <w:r w:rsidR="00FE3411">
        <w:t xml:space="preserve">.  </w:t>
      </w:r>
      <w:r w:rsidR="00C35D93">
        <w:t xml:space="preserve">The </w:t>
      </w:r>
      <w:r>
        <w:t xml:space="preserve">panel noted </w:t>
      </w:r>
      <w:r w:rsidR="004C060D">
        <w:t>that</w:t>
      </w:r>
      <w:r w:rsidR="00E96116">
        <w:t>,</w:t>
      </w:r>
      <w:r w:rsidR="004C060D">
        <w:t xml:space="preserve"> unlike </w:t>
      </w:r>
      <w:r w:rsidR="004C060D">
        <w:rPr>
          <w:u w:val="single"/>
        </w:rPr>
        <w:t xml:space="preserve">Adoption of </w:t>
      </w:r>
      <w:r w:rsidR="004C060D" w:rsidRPr="004C060D">
        <w:rPr>
          <w:u w:val="single"/>
        </w:rPr>
        <w:t>Tia</w:t>
      </w:r>
      <w:r w:rsidR="004C060D">
        <w:t xml:space="preserve">, 73 Mass. App. Ct. 115 (2008), where the judge had erred by assessing the strength of the evidence well before the evidence had closed, </w:t>
      </w:r>
      <w:r w:rsidRPr="004C060D">
        <w:t>the</w:t>
      </w:r>
      <w:r>
        <w:t xml:space="preserve"> challenged commen</w:t>
      </w:r>
      <w:r w:rsidR="004C060D">
        <w:t>ts here came at the end of the trial</w:t>
      </w:r>
      <w:r>
        <w:t xml:space="preserve"> after the judge had access to all of the evidence and occurred within a conversation where counsel for both parents indicated </w:t>
      </w:r>
      <w:r w:rsidR="004C060D">
        <w:t xml:space="preserve">that </w:t>
      </w:r>
      <w:r>
        <w:t xml:space="preserve">their clients were considering open adoption agreements.  Though the panel thought it would have been </w:t>
      </w:r>
      <w:r w:rsidR="00E96116">
        <w:t>“</w:t>
      </w:r>
      <w:r>
        <w:t xml:space="preserve">more prudent to discuss settlement options after the questions regarding father’s </w:t>
      </w:r>
      <w:r w:rsidR="00E96116">
        <w:t xml:space="preserve">potential rebuttal </w:t>
      </w:r>
      <w:r>
        <w:t>testimony and</w:t>
      </w:r>
      <w:r w:rsidR="00E96116">
        <w:t xml:space="preserve"> the certified</w:t>
      </w:r>
      <w:r>
        <w:t xml:space="preserve"> police report were resolved,</w:t>
      </w:r>
      <w:r w:rsidR="00E96116">
        <w:t>”</w:t>
      </w:r>
      <w:r>
        <w:t xml:space="preserve"> the panel was satisfied that the comments did not compromise the fairness</w:t>
      </w:r>
      <w:r w:rsidR="00E96116">
        <w:t>, or the appearance of fairness,</w:t>
      </w:r>
      <w:r>
        <w:t xml:space="preserve"> of the trial.</w:t>
      </w:r>
    </w:p>
    <w:p w:rsidR="00781EC6" w:rsidRPr="00FB29D8" w:rsidRDefault="00781EC6" w:rsidP="00781EC6">
      <w:pPr>
        <w:pStyle w:val="ListParagraph"/>
        <w:snapToGrid w:val="0"/>
        <w:ind w:left="0"/>
      </w:pPr>
    </w:p>
    <w:p w:rsidR="002E3EC3" w:rsidRDefault="00C61F07" w:rsidP="00781EC6">
      <w:pPr>
        <w:pStyle w:val="ListParagraph"/>
        <w:numPr>
          <w:ilvl w:val="0"/>
          <w:numId w:val="27"/>
        </w:numPr>
        <w:snapToGrid w:val="0"/>
        <w:ind w:left="0" w:firstLine="0"/>
      </w:pPr>
      <w:r>
        <w:rPr>
          <w:u w:val="single"/>
        </w:rPr>
        <w:t>Guardianship of Jorge De La Cruz</w:t>
      </w:r>
      <w:r>
        <w:t xml:space="preserve">, 86 Mass. App. Ct. 1106, No. 14-P-505 (July 31, 2014).  </w:t>
      </w:r>
      <w:r w:rsidR="002A19F5">
        <w:t xml:space="preserve">This case is worth mentioning because it reinforces the importance of the trial judge making independent findings of fact and providing a basis for those findings.  </w:t>
      </w:r>
      <w:r w:rsidR="00E96116">
        <w:t>The child submitted proposed findings in an effort to obtain Special Immigrant Juvenile Status.  T</w:t>
      </w:r>
      <w:r w:rsidR="002A19F5">
        <w:t>he trial judge adopted</w:t>
      </w:r>
      <w:r w:rsidR="008B1E08">
        <w:t xml:space="preserve"> </w:t>
      </w:r>
      <w:r w:rsidR="00E96116">
        <w:t>some, but not all,</w:t>
      </w:r>
      <w:r w:rsidR="008B1E08">
        <w:t xml:space="preserve"> of</w:t>
      </w:r>
      <w:r w:rsidR="002A19F5">
        <w:t xml:space="preserve"> th</w:t>
      </w:r>
      <w:r w:rsidR="008B1E08">
        <w:t xml:space="preserve">e juvenile’s proposed findings. </w:t>
      </w:r>
      <w:r w:rsidR="00E96116">
        <w:t xml:space="preserve"> (The un-adopted findings </w:t>
      </w:r>
      <w:r w:rsidR="002E3EC3">
        <w:t>would have helped the child obtain the desired immigration status.)</w:t>
      </w:r>
      <w:r w:rsidR="00E96116">
        <w:t xml:space="preserve">  The judge</w:t>
      </w:r>
      <w:r w:rsidR="008B1E08">
        <w:t xml:space="preserve"> did not </w:t>
      </w:r>
      <w:r w:rsidR="00E96116">
        <w:t>explain why she refused</w:t>
      </w:r>
      <w:r w:rsidR="008B1E08">
        <w:t xml:space="preserve"> to adopt </w:t>
      </w:r>
      <w:r w:rsidR="00E96116">
        <w:t>the remaining</w:t>
      </w:r>
      <w:r w:rsidR="008B1E08">
        <w:t xml:space="preserve"> findings, which the panel noted were fully supported by the record</w:t>
      </w:r>
      <w:r w:rsidR="002A19F5">
        <w:t>.</w:t>
      </w:r>
      <w:r w:rsidR="00847F93">
        <w:t xml:space="preserve">  </w:t>
      </w:r>
      <w:r w:rsidR="00E96116">
        <w:t>B</w:t>
      </w:r>
      <w:r w:rsidR="00847F93">
        <w:t>ecause the judge received no testimony and made her findings based entirely on documentary evidence, the panel did not accord her findings any special deference.</w:t>
      </w:r>
      <w:r w:rsidR="003E6559">
        <w:t xml:space="preserve">  Instead, because of the particular circumstances presented, the panel issued its own findings and rulings and remanded the matter with an order to enter those findings and rulings forthwith. </w:t>
      </w:r>
    </w:p>
    <w:p w:rsidR="00227C66" w:rsidRDefault="00227C66" w:rsidP="00227C66">
      <w:pPr>
        <w:pStyle w:val="ListParagraph"/>
      </w:pPr>
    </w:p>
    <w:p w:rsidR="00C61F07" w:rsidRPr="00C61F07" w:rsidRDefault="00227C66" w:rsidP="002E3EC3">
      <w:pPr>
        <w:pStyle w:val="ListParagraph"/>
        <w:snapToGrid w:val="0"/>
        <w:ind w:left="0"/>
      </w:pPr>
      <w:r>
        <w:t>This is a great case for attorneys seeking Special Immigrant Juvenile Status for their clients.  For the rest of us, it’s</w:t>
      </w:r>
      <w:r w:rsidR="002E3EC3">
        <w:t xml:space="preserve"> a reminder that trial court findings based solely on documentary evidence are not entitled to deference.  </w:t>
      </w:r>
      <w:r w:rsidR="002A19F5">
        <w:t xml:space="preserve">  </w:t>
      </w:r>
    </w:p>
    <w:p w:rsidR="00C61F07" w:rsidRPr="00C61F07" w:rsidRDefault="00C61F07" w:rsidP="00C61F07">
      <w:pPr>
        <w:pStyle w:val="ListParagraph"/>
        <w:rPr>
          <w:color w:val="000000"/>
          <w:u w:val="single"/>
        </w:rPr>
      </w:pPr>
    </w:p>
    <w:p w:rsidR="008400E5" w:rsidRPr="008400E5" w:rsidRDefault="00781EC6" w:rsidP="00781EC6">
      <w:pPr>
        <w:pStyle w:val="ListParagraph"/>
        <w:numPr>
          <w:ilvl w:val="0"/>
          <w:numId w:val="27"/>
        </w:numPr>
        <w:snapToGrid w:val="0"/>
        <w:ind w:left="0" w:firstLine="0"/>
      </w:pPr>
      <w:r w:rsidRPr="00FB29D8">
        <w:rPr>
          <w:color w:val="000000"/>
          <w:u w:val="single"/>
        </w:rPr>
        <w:t xml:space="preserve">Adoption of </w:t>
      </w:r>
      <w:r>
        <w:rPr>
          <w:color w:val="000000"/>
          <w:u w:val="single"/>
        </w:rPr>
        <w:t>Ukari</w:t>
      </w:r>
      <w:r w:rsidRPr="00FB29D8">
        <w:rPr>
          <w:color w:val="000000"/>
        </w:rPr>
        <w:t>, </w:t>
      </w:r>
      <w:r w:rsidRPr="00FB29D8">
        <w:rPr>
          <w:color w:val="000000"/>
          <w:shd w:val="clear" w:color="auto" w:fill="FFFFFF"/>
        </w:rPr>
        <w:t>8</w:t>
      </w:r>
      <w:r>
        <w:rPr>
          <w:color w:val="000000"/>
          <w:shd w:val="clear" w:color="auto" w:fill="FFFFFF"/>
        </w:rPr>
        <w:t>6</w:t>
      </w:r>
      <w:r w:rsidRPr="00FB29D8">
        <w:rPr>
          <w:color w:val="000000"/>
          <w:shd w:val="clear" w:color="auto" w:fill="FFFFFF"/>
        </w:rPr>
        <w:t xml:space="preserve"> Mass. App. Ct. 11</w:t>
      </w:r>
      <w:r>
        <w:rPr>
          <w:color w:val="000000"/>
          <w:shd w:val="clear" w:color="auto" w:fill="FFFFFF"/>
        </w:rPr>
        <w:t>11</w:t>
      </w:r>
      <w:r w:rsidRPr="00FB29D8">
        <w:rPr>
          <w:color w:val="000000"/>
          <w:shd w:val="clear" w:color="auto" w:fill="FFFFFF"/>
        </w:rPr>
        <w:t>, No. 1</w:t>
      </w:r>
      <w:r>
        <w:rPr>
          <w:color w:val="000000"/>
          <w:shd w:val="clear" w:color="auto" w:fill="FFFFFF"/>
        </w:rPr>
        <w:t>3</w:t>
      </w:r>
      <w:r w:rsidRPr="00FB29D8">
        <w:rPr>
          <w:color w:val="000000"/>
          <w:shd w:val="clear" w:color="auto" w:fill="FFFFFF"/>
        </w:rPr>
        <w:t>-P-</w:t>
      </w:r>
      <w:r>
        <w:rPr>
          <w:color w:val="000000"/>
          <w:shd w:val="clear" w:color="auto" w:fill="FFFFFF"/>
        </w:rPr>
        <w:t>0967</w:t>
      </w:r>
      <w:r w:rsidRPr="00FB29D8">
        <w:rPr>
          <w:color w:val="000000"/>
          <w:shd w:val="clear" w:color="auto" w:fill="FFFFFF"/>
        </w:rPr>
        <w:t xml:space="preserve"> (</w:t>
      </w:r>
      <w:r>
        <w:rPr>
          <w:color w:val="000000"/>
          <w:shd w:val="clear" w:color="auto" w:fill="FFFFFF"/>
        </w:rPr>
        <w:t xml:space="preserve">September 12, </w:t>
      </w:r>
      <w:r w:rsidRPr="00FB29D8">
        <w:rPr>
          <w:color w:val="000000"/>
          <w:shd w:val="clear" w:color="auto" w:fill="FFFFFF"/>
        </w:rPr>
        <w:t>201</w:t>
      </w:r>
      <w:r>
        <w:rPr>
          <w:color w:val="000000"/>
          <w:shd w:val="clear" w:color="auto" w:fill="FFFFFF"/>
        </w:rPr>
        <w:t>4</w:t>
      </w:r>
      <w:r w:rsidRPr="00FB29D8">
        <w:rPr>
          <w:color w:val="000000"/>
          <w:shd w:val="clear" w:color="auto" w:fill="FFFFFF"/>
        </w:rPr>
        <w:t>).  </w:t>
      </w:r>
      <w:r w:rsidR="00F851F6">
        <w:rPr>
          <w:color w:val="000000"/>
          <w:shd w:val="clear" w:color="auto" w:fill="FFFFFF"/>
        </w:rPr>
        <w:t xml:space="preserve">Once again, the Appeals Court </w:t>
      </w:r>
      <w:r w:rsidR="008400E5">
        <w:rPr>
          <w:color w:val="000000"/>
          <w:shd w:val="clear" w:color="auto" w:fill="FFFFFF"/>
        </w:rPr>
        <w:t>remanded</w:t>
      </w:r>
      <w:r w:rsidR="00F851F6">
        <w:rPr>
          <w:color w:val="000000"/>
          <w:shd w:val="clear" w:color="auto" w:fill="FFFFFF"/>
        </w:rPr>
        <w:t xml:space="preserve"> a case based solely on the need for a </w:t>
      </w:r>
      <w:r w:rsidRPr="00FB29D8">
        <w:rPr>
          <w:color w:val="000000"/>
          <w:shd w:val="clear" w:color="auto" w:fill="FFFFFF"/>
        </w:rPr>
        <w:t>specific schedule of post-termination and post-adoption sibling</w:t>
      </w:r>
      <w:r w:rsidR="007F5F49">
        <w:rPr>
          <w:color w:val="000000"/>
          <w:shd w:val="clear" w:color="auto" w:fill="FFFFFF"/>
        </w:rPr>
        <w:t xml:space="preserve"> visitation</w:t>
      </w:r>
      <w:r w:rsidR="008400E5">
        <w:rPr>
          <w:color w:val="000000"/>
          <w:shd w:val="clear" w:color="auto" w:fill="FFFFFF"/>
        </w:rPr>
        <w:t xml:space="preserve">.  The trial judge found that sibling visits served the </w:t>
      </w:r>
      <w:r w:rsidR="00F851F6">
        <w:rPr>
          <w:color w:val="000000"/>
          <w:shd w:val="clear" w:color="auto" w:fill="FFFFFF"/>
        </w:rPr>
        <w:t>best interests of the children</w:t>
      </w:r>
      <w:r w:rsidR="008400E5">
        <w:rPr>
          <w:color w:val="000000"/>
          <w:shd w:val="clear" w:color="auto" w:fill="FFFFFF"/>
        </w:rPr>
        <w:t xml:space="preserve">, but left </w:t>
      </w:r>
      <w:r w:rsidR="00F47308">
        <w:rPr>
          <w:color w:val="000000"/>
          <w:shd w:val="clear" w:color="auto" w:fill="FFFFFF"/>
        </w:rPr>
        <w:t>visits</w:t>
      </w:r>
      <w:r w:rsidR="008400E5">
        <w:rPr>
          <w:color w:val="000000"/>
          <w:shd w:val="clear" w:color="auto" w:fill="FFFFFF"/>
        </w:rPr>
        <w:t xml:space="preserve"> to the discretion of the adoptive families.  The panel noted that the child-appellant “is correct that the timing and frequency of such visits should not have been left to the discretion of the department or the adoptive parents[,]” because the statute requires the judge to order the schedule and conditions of visitation.  </w:t>
      </w:r>
    </w:p>
    <w:p w:rsidR="008400E5" w:rsidRDefault="008400E5" w:rsidP="008400E5">
      <w:pPr>
        <w:pStyle w:val="ListParagraph"/>
        <w:snapToGrid w:val="0"/>
        <w:ind w:left="0"/>
      </w:pPr>
    </w:p>
    <w:p w:rsidR="008400E5" w:rsidRDefault="008400E5" w:rsidP="008400E5">
      <w:pPr>
        <w:pStyle w:val="ListParagraph"/>
        <w:snapToGrid w:val="0"/>
        <w:ind w:left="0"/>
        <w:rPr>
          <w:color w:val="000000"/>
          <w:shd w:val="clear" w:color="auto" w:fill="FFFFFF"/>
        </w:rPr>
      </w:pPr>
      <w:r>
        <w:rPr>
          <w:color w:val="000000"/>
          <w:shd w:val="clear" w:color="auto" w:fill="FFFFFF"/>
        </w:rPr>
        <w:t xml:space="preserve">Why are trial judges continuing to fail to make sibling visitation orders?  The statute and the case law are both crystal clear.  If you represent a child at the trial level and the judge has not issued sibling visitation orders as part of a termination decree, bring this case (and the published sibling visitation cases, including </w:t>
      </w:r>
      <w:r w:rsidRPr="008400E5">
        <w:rPr>
          <w:color w:val="000000"/>
          <w:u w:val="single"/>
          <w:shd w:val="clear" w:color="auto" w:fill="FFFFFF"/>
        </w:rPr>
        <w:t>Galvin</w:t>
      </w:r>
      <w:r w:rsidR="00F47308">
        <w:rPr>
          <w:color w:val="000000"/>
          <w:shd w:val="clear" w:color="auto" w:fill="FFFFFF"/>
        </w:rPr>
        <w:t xml:space="preserve">, </w:t>
      </w:r>
      <w:r w:rsidR="00F47308" w:rsidRPr="00F47308">
        <w:rPr>
          <w:color w:val="000000"/>
          <w:u w:val="single"/>
          <w:shd w:val="clear" w:color="auto" w:fill="FFFFFF"/>
        </w:rPr>
        <w:t>Zander</w:t>
      </w:r>
      <w:r w:rsidR="00F47308">
        <w:rPr>
          <w:color w:val="000000"/>
          <w:shd w:val="clear" w:color="auto" w:fill="FFFFFF"/>
        </w:rPr>
        <w:t>,</w:t>
      </w:r>
      <w:r>
        <w:rPr>
          <w:color w:val="000000"/>
          <w:shd w:val="clear" w:color="auto" w:fill="FFFFFF"/>
        </w:rPr>
        <w:t xml:space="preserve"> and </w:t>
      </w:r>
      <w:r w:rsidRPr="008400E5">
        <w:rPr>
          <w:color w:val="000000"/>
          <w:u w:val="single"/>
          <w:shd w:val="clear" w:color="auto" w:fill="FFFFFF"/>
        </w:rPr>
        <w:t>Rico</w:t>
      </w:r>
      <w:r>
        <w:rPr>
          <w:color w:val="000000"/>
          <w:shd w:val="clear" w:color="auto" w:fill="FFFFFF"/>
        </w:rPr>
        <w:t xml:space="preserve">) </w:t>
      </w:r>
      <w:r w:rsidR="00F47308">
        <w:rPr>
          <w:color w:val="000000"/>
          <w:shd w:val="clear" w:color="auto" w:fill="FFFFFF"/>
        </w:rPr>
        <w:t xml:space="preserve">and G.L. c. 119, § 26B(b) </w:t>
      </w:r>
      <w:r>
        <w:rPr>
          <w:color w:val="000000"/>
          <w:shd w:val="clear" w:color="auto" w:fill="FFFFFF"/>
        </w:rPr>
        <w:t xml:space="preserve">to the judge’s </w:t>
      </w:r>
      <w:r>
        <w:rPr>
          <w:color w:val="000000"/>
          <w:shd w:val="clear" w:color="auto" w:fill="FFFFFF"/>
        </w:rPr>
        <w:lastRenderedPageBreak/>
        <w:t xml:space="preserve">attention and insist that the judge make specific orders.  If you represent the child on appeal, consider bringing this issue to the </w:t>
      </w:r>
      <w:r w:rsidR="00FD45C7">
        <w:rPr>
          <w:color w:val="000000"/>
          <w:shd w:val="clear" w:color="auto" w:fill="FFFFFF"/>
        </w:rPr>
        <w:t xml:space="preserve">trial </w:t>
      </w:r>
      <w:r>
        <w:rPr>
          <w:color w:val="000000"/>
          <w:shd w:val="clear" w:color="auto" w:fill="FFFFFF"/>
        </w:rPr>
        <w:t xml:space="preserve">court’s attention in a post-trial motion.  A remand on this issue by an Appeals Court panel is almost a foregone conclusion.  It shouldn’t take a full appeal to get there.  </w:t>
      </w:r>
      <w:r w:rsidR="00F47308">
        <w:rPr>
          <w:color w:val="000000"/>
          <w:shd w:val="clear" w:color="auto" w:fill="FFFFFF"/>
        </w:rPr>
        <w:t xml:space="preserve">(Of course, if sibling visits do </w:t>
      </w:r>
      <w:r w:rsidR="00F47308" w:rsidRPr="00F47308">
        <w:rPr>
          <w:i/>
          <w:color w:val="000000"/>
          <w:shd w:val="clear" w:color="auto" w:fill="FFFFFF"/>
        </w:rPr>
        <w:t>not</w:t>
      </w:r>
      <w:r w:rsidR="00F47308">
        <w:rPr>
          <w:color w:val="000000"/>
          <w:shd w:val="clear" w:color="auto" w:fill="FFFFFF"/>
        </w:rPr>
        <w:t xml:space="preserve"> serve all of the children’s best interests, that’s another story.)</w:t>
      </w:r>
    </w:p>
    <w:p w:rsidR="008400E5" w:rsidRDefault="008400E5" w:rsidP="008400E5">
      <w:pPr>
        <w:pStyle w:val="ListParagraph"/>
        <w:snapToGrid w:val="0"/>
        <w:ind w:left="0"/>
        <w:rPr>
          <w:color w:val="000000"/>
          <w:shd w:val="clear" w:color="auto" w:fill="FFFFFF"/>
        </w:rPr>
      </w:pPr>
    </w:p>
    <w:p w:rsidR="00E64703" w:rsidRDefault="00781EC6" w:rsidP="00781EC6">
      <w:pPr>
        <w:pStyle w:val="ListParagraph"/>
        <w:numPr>
          <w:ilvl w:val="0"/>
          <w:numId w:val="27"/>
        </w:numPr>
        <w:snapToGrid w:val="0"/>
        <w:ind w:left="0" w:firstLine="0"/>
      </w:pPr>
      <w:r>
        <w:rPr>
          <w:u w:val="single"/>
        </w:rPr>
        <w:t>Adoption of Vince</w:t>
      </w:r>
      <w:r>
        <w:t>, 86 Mass. App. Ct. 1113, No. 14-P-005 (September 30, 2014)</w:t>
      </w:r>
      <w:r w:rsidR="00A10459">
        <w:t xml:space="preserve">.  This case is </w:t>
      </w:r>
      <w:r>
        <w:t xml:space="preserve">the </w:t>
      </w:r>
      <w:r w:rsidRPr="00A56F5A">
        <w:rPr>
          <w:i/>
        </w:rPr>
        <w:t>fourth</w:t>
      </w:r>
      <w:r>
        <w:t xml:space="preserve"> t</w:t>
      </w:r>
      <w:r w:rsidR="00FA3786">
        <w:t xml:space="preserve">ime </w:t>
      </w:r>
      <w:r w:rsidR="00A56F5A">
        <w:t xml:space="preserve">(!) </w:t>
      </w:r>
      <w:r w:rsidR="00FA3786">
        <w:t xml:space="preserve">the Appeals Court has </w:t>
      </w:r>
      <w:r w:rsidR="00A10459">
        <w:t>consider</w:t>
      </w:r>
      <w:r w:rsidR="00A56F5A">
        <w:t>ed</w:t>
      </w:r>
      <w:r w:rsidR="00A10459">
        <w:t xml:space="preserve"> whether a</w:t>
      </w:r>
      <w:r>
        <w:t xml:space="preserve"> particular trial judge’s questioning </w:t>
      </w:r>
      <w:r w:rsidR="00A56F5A">
        <w:t xml:space="preserve">of witnesses </w:t>
      </w:r>
      <w:r>
        <w:t xml:space="preserve">was inappropriate and prejudicial. </w:t>
      </w:r>
      <w:r w:rsidR="00A56F5A">
        <w:t>T</w:t>
      </w:r>
      <w:r w:rsidR="00A10459">
        <w:t xml:space="preserve">his case and its </w:t>
      </w:r>
      <w:r w:rsidR="00A56F5A">
        <w:t xml:space="preserve">predecessors – </w:t>
      </w:r>
      <w:r w:rsidR="00A56F5A">
        <w:rPr>
          <w:u w:val="single"/>
        </w:rPr>
        <w:t xml:space="preserve">Adoption </w:t>
      </w:r>
      <w:r w:rsidR="001A4864">
        <w:rPr>
          <w:u w:val="single"/>
        </w:rPr>
        <w:t>of Norbert</w:t>
      </w:r>
      <w:r w:rsidR="001A4864">
        <w:t xml:space="preserve">, 83 Mass. App. Ct. 542 (2013); </w:t>
      </w:r>
      <w:r w:rsidR="001A4864">
        <w:rPr>
          <w:u w:val="single"/>
        </w:rPr>
        <w:t>Adoption of Ezra</w:t>
      </w:r>
      <w:r w:rsidR="001A4864">
        <w:t xml:space="preserve">, 84 Mass. App. Ct. 1102 (2013) (Mass. App. Ct. Rule 1:28); </w:t>
      </w:r>
      <w:r w:rsidR="001A4864">
        <w:rPr>
          <w:u w:val="single"/>
        </w:rPr>
        <w:t>Adoption of Nurit</w:t>
      </w:r>
      <w:r w:rsidR="00F55394">
        <w:t>, 71 Mass. App. Ct. 1104 (2008)</w:t>
      </w:r>
      <w:r w:rsidR="001A4864">
        <w:t xml:space="preserve"> </w:t>
      </w:r>
      <w:r w:rsidR="006D4E28" w:rsidRPr="006D4E28">
        <w:t>(Mass. App. Ct. Rule 1:28)</w:t>
      </w:r>
      <w:r w:rsidR="001A4864">
        <w:t>;</w:t>
      </w:r>
      <w:r w:rsidR="00892CE6">
        <w:t xml:space="preserve"> and</w:t>
      </w:r>
      <w:r w:rsidR="001A4864">
        <w:t xml:space="preserve"> </w:t>
      </w:r>
      <w:r w:rsidR="001A4864">
        <w:rPr>
          <w:u w:val="single"/>
        </w:rPr>
        <w:t>Adoption of Terrill</w:t>
      </w:r>
      <w:r w:rsidR="00F55394">
        <w:t>, 70 Mass. App. Ct. 1115 (2007)</w:t>
      </w:r>
      <w:r w:rsidR="006D4E28">
        <w:t xml:space="preserve"> </w:t>
      </w:r>
      <w:r w:rsidR="006D4E28" w:rsidRPr="006D4E28">
        <w:t>(Mass. App. Ct. Rule 1:28)</w:t>
      </w:r>
      <w:r w:rsidR="00A56F5A">
        <w:t xml:space="preserve"> – suggest that judicial questioning, even excessive or inappropriate questioning,</w:t>
      </w:r>
      <w:r w:rsidR="00A56F5A" w:rsidRPr="00A56F5A">
        <w:t xml:space="preserve"> </w:t>
      </w:r>
      <w:r w:rsidR="00A56F5A">
        <w:t xml:space="preserve">does not constitute structural error </w:t>
      </w:r>
      <w:r w:rsidR="00A10459">
        <w:t>unless the trial judge was bi</w:t>
      </w:r>
      <w:r w:rsidR="00E64703">
        <w:t>as</w:t>
      </w:r>
      <w:r w:rsidR="00A56F5A">
        <w:t>ed.  Absent a showing of bias</w:t>
      </w:r>
      <w:r w:rsidR="00233DC5">
        <w:t xml:space="preserve"> – which would not require a showing of harm – an </w:t>
      </w:r>
      <w:r w:rsidR="00A56F5A">
        <w:t xml:space="preserve">appellant must show that the judge’s questioning prejudiced the appellant.  </w:t>
      </w:r>
      <w:r w:rsidR="00A10459">
        <w:t xml:space="preserve">  </w:t>
      </w:r>
    </w:p>
    <w:p w:rsidR="006A406F" w:rsidRDefault="006A406F" w:rsidP="006A406F">
      <w:pPr>
        <w:pStyle w:val="ListParagraph"/>
      </w:pPr>
    </w:p>
    <w:p w:rsidR="00892CE6" w:rsidRDefault="006A406F" w:rsidP="00233DC5">
      <w:r w:rsidRPr="006A406F">
        <w:t xml:space="preserve">In </w:t>
      </w:r>
      <w:r w:rsidRPr="006A406F">
        <w:rPr>
          <w:u w:val="single"/>
        </w:rPr>
        <w:t>Vince</w:t>
      </w:r>
      <w:r w:rsidRPr="006A406F">
        <w:t xml:space="preserve">, the panel agreed that it was error for the judge to </w:t>
      </w:r>
      <w:r w:rsidR="00233DC5">
        <w:t>ask</w:t>
      </w:r>
      <w:r w:rsidRPr="006A406F">
        <w:t xml:space="preserve"> questions that were adversarial in nature</w:t>
      </w:r>
      <w:r w:rsidR="00233DC5">
        <w:t>.  B</w:t>
      </w:r>
      <w:r w:rsidRPr="006A406F">
        <w:t>ut the panel held that the error was not structural</w:t>
      </w:r>
      <w:r w:rsidR="00233DC5">
        <w:t>,</w:t>
      </w:r>
      <w:r w:rsidR="004C4BDF">
        <w:t xml:space="preserve"> citing </w:t>
      </w:r>
      <w:r w:rsidR="004C4BDF">
        <w:rPr>
          <w:u w:val="single"/>
        </w:rPr>
        <w:t>Adoption of Seth</w:t>
      </w:r>
      <w:r w:rsidR="004C4BDF">
        <w:t>, 29 Mass. App. Ct. 343, 351 (1990) (affirming termination decree</w:t>
      </w:r>
      <w:r w:rsidR="00233DC5">
        <w:t>, because</w:t>
      </w:r>
      <w:r w:rsidR="004C4BDF">
        <w:t xml:space="preserve"> judge’s “extraordinary” questioning was not prompted by bias but rather his impatience with counsel’s inability to properly pose questions)</w:t>
      </w:r>
      <w:r w:rsidRPr="006A406F">
        <w:t xml:space="preserve">.  The panel went on to determine </w:t>
      </w:r>
      <w:r w:rsidR="001A4864">
        <w:t xml:space="preserve">that </w:t>
      </w:r>
      <w:r w:rsidRPr="006A406F">
        <w:t xml:space="preserve">the error </w:t>
      </w:r>
      <w:r w:rsidR="001A4864">
        <w:t xml:space="preserve">was </w:t>
      </w:r>
      <w:r w:rsidR="00233DC5">
        <w:t>not</w:t>
      </w:r>
      <w:r w:rsidRPr="006A406F">
        <w:t xml:space="preserve"> prejudicial </w:t>
      </w:r>
      <w:r w:rsidR="00233DC5">
        <w:t>to the appellant; the</w:t>
      </w:r>
      <w:r w:rsidRPr="006A406F">
        <w:t xml:space="preserve"> evidence su</w:t>
      </w:r>
      <w:r w:rsidR="00233DC5">
        <w:t>pporting the termination decree was overwhelming.</w:t>
      </w:r>
      <w:r w:rsidR="00892CE6" w:rsidRPr="00892CE6">
        <w:t xml:space="preserve"> </w:t>
      </w:r>
    </w:p>
    <w:p w:rsidR="00892CE6" w:rsidRDefault="00892CE6" w:rsidP="00233DC5"/>
    <w:p w:rsidR="006A406F" w:rsidRDefault="00892CE6" w:rsidP="00233DC5">
      <w:r>
        <w:t xml:space="preserve">Perhaps more interesting, the panel in </w:t>
      </w:r>
      <w:r w:rsidRPr="00892CE6">
        <w:rPr>
          <w:u w:val="single"/>
        </w:rPr>
        <w:t>Vince</w:t>
      </w:r>
      <w:r>
        <w:t xml:space="preserve"> applied the “substantial risk of miscarriage of justice” standard to address the issue of improper judicial questioning, because it was not raised below.  This is the criminal standard for most unpreserved errors</w:t>
      </w:r>
      <w:r w:rsidR="00FD766F">
        <w:t xml:space="preserve">.  </w:t>
      </w:r>
      <w:r w:rsidR="00FD766F" w:rsidRPr="00FD766F">
        <w:rPr>
          <w:i/>
        </w:rPr>
        <w:t>See</w:t>
      </w:r>
      <w:r w:rsidR="00FD766F">
        <w:t xml:space="preserve"> </w:t>
      </w:r>
      <w:r w:rsidR="002063C6" w:rsidRPr="00463672">
        <w:rPr>
          <w:u w:val="single"/>
        </w:rPr>
        <w:t>Commonwealth v. Alphas</w:t>
      </w:r>
      <w:r w:rsidR="002063C6" w:rsidRPr="00463672">
        <w:t>, 430 Mass. 8, 13 (1999)</w:t>
      </w:r>
      <w:r w:rsidR="00FD766F">
        <w:t xml:space="preserve">.  Other than a footnote in </w:t>
      </w:r>
      <w:r w:rsidR="00FD766F" w:rsidRPr="00246F1B">
        <w:rPr>
          <w:u w:val="single"/>
        </w:rPr>
        <w:t>Adoption of Yannis</w:t>
      </w:r>
      <w:r w:rsidR="00FD766F">
        <w:t xml:space="preserve">, 78 Mass. App. Ct. 1111 n. 4 (2010) (Mass. App. Ct. Rule 1:28 </w:t>
      </w:r>
      <w:r w:rsidR="00246F1B">
        <w:t xml:space="preserve">) </w:t>
      </w:r>
      <w:r w:rsidR="00FD766F">
        <w:t>(</w:t>
      </w:r>
      <w:r w:rsidR="00246F1B">
        <w:t xml:space="preserve">because panel addressed jurisdictional problem, </w:t>
      </w:r>
      <w:r w:rsidR="00FD766F">
        <w:t xml:space="preserve">trial counsel’s failure to raise </w:t>
      </w:r>
      <w:r w:rsidR="00246F1B">
        <w:t xml:space="preserve">it below was </w:t>
      </w:r>
      <w:r w:rsidR="00FD766F">
        <w:t>not ineffective</w:t>
      </w:r>
      <w:r w:rsidR="00246F1B">
        <w:t xml:space="preserve"> because there was no substantial miscarriage of justice), n</w:t>
      </w:r>
      <w:r>
        <w:t xml:space="preserve">o child welfare case has applied it.   </w:t>
      </w:r>
      <w:r w:rsidR="002063C6">
        <w:t xml:space="preserve">The closest our </w:t>
      </w:r>
      <w:r w:rsidR="00246F1B">
        <w:t xml:space="preserve">published </w:t>
      </w:r>
      <w:r w:rsidR="002063C6">
        <w:t xml:space="preserve">cases have come is an “exceptional circumstances” standard.  </w:t>
      </w:r>
      <w:r w:rsidR="002063C6" w:rsidRPr="002063C6">
        <w:rPr>
          <w:i/>
        </w:rPr>
        <w:t>See</w:t>
      </w:r>
      <w:r w:rsidR="002063C6">
        <w:t xml:space="preserve"> </w:t>
      </w:r>
      <w:r w:rsidR="002063C6" w:rsidRPr="00463672">
        <w:rPr>
          <w:u w:val="single"/>
        </w:rPr>
        <w:t>Adoption of Mary</w:t>
      </w:r>
      <w:r w:rsidR="002063C6" w:rsidRPr="00463672">
        <w:t>, 414 Mass. 705, 712 (1993)</w:t>
      </w:r>
      <w:r w:rsidR="002063C6">
        <w:t xml:space="preserve"> (declining to reach merits of arguments on post-adoption visitation and ineffective assistance of counsel because “there has been no showing made of exceptional circumstances”)</w:t>
      </w:r>
      <w:r w:rsidR="002063C6" w:rsidRPr="00463672">
        <w:t xml:space="preserve">; </w:t>
      </w:r>
      <w:r w:rsidR="002063C6">
        <w:rPr>
          <w:u w:val="single"/>
        </w:rPr>
        <w:t>Care &amp; Protection of Stephen</w:t>
      </w:r>
      <w:r w:rsidR="002063C6">
        <w:t xml:space="preserve">, </w:t>
      </w:r>
      <w:r w:rsidR="002063C6" w:rsidRPr="00463672">
        <w:t>401 Mass. 144, 150 (1987)</w:t>
      </w:r>
      <w:r w:rsidR="002063C6">
        <w:t xml:space="preserve"> </w:t>
      </w:r>
      <w:r w:rsidR="002063C6" w:rsidRPr="00463672">
        <w:t>(holding that absent exceptional circumstances, claims of ineffective assistance of counsel will not be reviewed for the first time on appeal)</w:t>
      </w:r>
      <w:r w:rsidR="002063C6">
        <w:t xml:space="preserve">.  Are the two standards </w:t>
      </w:r>
      <w:r w:rsidR="003A6109">
        <w:t xml:space="preserve">really </w:t>
      </w:r>
      <w:r w:rsidR="002063C6">
        <w:t xml:space="preserve">different?  Perhaps not.  But </w:t>
      </w:r>
      <w:r w:rsidR="002063C6" w:rsidRPr="002063C6">
        <w:rPr>
          <w:u w:val="single"/>
        </w:rPr>
        <w:t>Vince</w:t>
      </w:r>
      <w:r w:rsidR="002063C6">
        <w:t xml:space="preserve"> </w:t>
      </w:r>
      <w:r w:rsidR="00246F1B">
        <w:t xml:space="preserve">(and, perhaps, the </w:t>
      </w:r>
      <w:r w:rsidR="00246F1B" w:rsidRPr="00246F1B">
        <w:rPr>
          <w:u w:val="single"/>
        </w:rPr>
        <w:t>Yannis</w:t>
      </w:r>
      <w:r w:rsidR="00246F1B">
        <w:t xml:space="preserve"> footnote) opens</w:t>
      </w:r>
      <w:r w:rsidR="002063C6">
        <w:t xml:space="preserve"> the door for us to cite to the vast criminal jurisprudence on unpreserved error.  (Did the </w:t>
      </w:r>
      <w:r w:rsidR="00246F1B" w:rsidRPr="00246F1B">
        <w:rPr>
          <w:u w:val="single"/>
        </w:rPr>
        <w:t>Vince</w:t>
      </w:r>
      <w:r w:rsidR="00246F1B">
        <w:t xml:space="preserve"> </w:t>
      </w:r>
      <w:r w:rsidR="002063C6">
        <w:t xml:space="preserve">panel use the “substantial risk of miscarriage of justice” standard on purpose or by accident?  This is the beauty – and horror – of Rule 1:28 decisions.  </w:t>
      </w:r>
      <w:r w:rsidR="00FD766F">
        <w:t>The world may</w:t>
      </w:r>
      <w:r w:rsidR="002063C6">
        <w:t xml:space="preserve"> never know.  So feel free to cite </w:t>
      </w:r>
      <w:r w:rsidR="002063C6" w:rsidRPr="002063C6">
        <w:rPr>
          <w:u w:val="single"/>
        </w:rPr>
        <w:t>Vince</w:t>
      </w:r>
      <w:r w:rsidR="002063C6">
        <w:t xml:space="preserve"> freely on this issue.)</w:t>
      </w:r>
    </w:p>
    <w:p w:rsidR="004C3C6A" w:rsidRDefault="004C3C6A" w:rsidP="00233DC5"/>
    <w:p w:rsidR="004C3C6A" w:rsidRPr="006A406F" w:rsidRDefault="004C3C6A" w:rsidP="004C3C6A">
      <w:pPr>
        <w:pStyle w:val="ListParagraph"/>
        <w:numPr>
          <w:ilvl w:val="0"/>
          <w:numId w:val="27"/>
        </w:numPr>
        <w:ind w:left="0" w:firstLine="0"/>
      </w:pPr>
      <w:r w:rsidRPr="004C3C6A">
        <w:rPr>
          <w:u w:val="single"/>
        </w:rPr>
        <w:t>Adoption of Yasha</w:t>
      </w:r>
      <w:r>
        <w:t>, 86 Mass. App. Ct. 1117, No. 14-P-213 (October 27, 2014).  This case is worth noting only because of one odd sentence:  “</w:t>
      </w:r>
      <w:r>
        <w:rPr>
          <w:rStyle w:val="ssleftalign"/>
        </w:rPr>
        <w:t xml:space="preserve">The father was not consistently living with the children and has been incinerated for a large portion of the children's lives.”  This sentence – which would be very funny were the rights at stake less fundamental – suggests that the Appeals </w:t>
      </w:r>
      <w:r>
        <w:rPr>
          <w:rStyle w:val="ssleftalign"/>
        </w:rPr>
        <w:lastRenderedPageBreak/>
        <w:t>Court, as well as the Reporter of Decisions, should pay a bit more attention to the Rule 1:28 decisions than they currently do.</w:t>
      </w:r>
    </w:p>
    <w:p w:rsidR="006A406F" w:rsidRDefault="006A406F" w:rsidP="006A406F"/>
    <w:p w:rsidR="004C3C6A" w:rsidRDefault="004C3C6A" w:rsidP="00606A93">
      <w:pPr>
        <w:pStyle w:val="ListParagraph"/>
        <w:numPr>
          <w:ilvl w:val="0"/>
          <w:numId w:val="27"/>
        </w:numPr>
        <w:snapToGrid w:val="0"/>
        <w:ind w:left="0" w:firstLine="0"/>
      </w:pPr>
      <w:r w:rsidRPr="002F0CBF">
        <w:rPr>
          <w:u w:val="single"/>
        </w:rPr>
        <w:t>Adoption of Zach</w:t>
      </w:r>
      <w:r>
        <w:t xml:space="preserve">, 86 Mass. App Ct. 1118, No. 13-P-1664 (November 7, 2014).  This case is particularly sad because it suggests that “legal orphan” status </w:t>
      </w:r>
      <w:r w:rsidR="002F0CBF">
        <w:t xml:space="preserve">can be good for a child even in the absence of any identifiable harm from contact with a birth parent.  In </w:t>
      </w:r>
      <w:r w:rsidR="002F0CBF" w:rsidRPr="002F0CBF">
        <w:rPr>
          <w:u w:val="single"/>
        </w:rPr>
        <w:t>Zach</w:t>
      </w:r>
      <w:r w:rsidR="002F0CBF">
        <w:t>, the mother and daughter (age 11) conceded the mother’s unfitness but argued that termination was inappropriate because the daughter had no adoption prospects and would likely be left a legal orphan.  No evidence suggested that contact with the mother harmed the daughter; indeed, the judge ordered post-adoption contact.  According to the panel,</w:t>
      </w:r>
    </w:p>
    <w:p w:rsidR="002F0CBF" w:rsidRDefault="002F0CBF" w:rsidP="002F0CBF">
      <w:pPr>
        <w:pStyle w:val="ListParagraph"/>
      </w:pPr>
    </w:p>
    <w:p w:rsidR="002F0CBF" w:rsidRDefault="002F0CBF" w:rsidP="002F0CBF">
      <w:pPr>
        <w:pStyle w:val="ListParagraph"/>
        <w:snapToGrid w:val="0"/>
        <w:ind w:right="720"/>
        <w:rPr>
          <w:rStyle w:val="ssleftalign"/>
        </w:rPr>
      </w:pPr>
      <w:r w:rsidRPr="002F0CBF">
        <w:rPr>
          <w:rStyle w:val="ssleftalign"/>
        </w:rPr>
        <w:t>While we fully acknowledge that becoming a legal orphan is an undesirable outcome for any child, p</w:t>
      </w:r>
      <w:r>
        <w:rPr>
          <w:rStyle w:val="ssleftalign"/>
        </w:rPr>
        <w:t>ermanence and stability may be “</w:t>
      </w:r>
      <w:r w:rsidRPr="002F0CBF">
        <w:rPr>
          <w:rStyle w:val="ssleftalign"/>
        </w:rPr>
        <w:t>eased</w:t>
      </w:r>
      <w:r>
        <w:rPr>
          <w:rStyle w:val="ssleftalign"/>
        </w:rPr>
        <w:t>”</w:t>
      </w:r>
      <w:r w:rsidRPr="002F0CBF">
        <w:rPr>
          <w:rStyle w:val="ssleftalign"/>
        </w:rPr>
        <w:t xml:space="preserve"> by the termination of parental rights, even where the child will become a legal orphan. </w:t>
      </w:r>
      <w:hyperlink r:id="rId13" w:history="1">
        <w:r w:rsidRPr="002F0CBF">
          <w:rPr>
            <w:rStyle w:val="sssh"/>
            <w:rFonts w:eastAsia="Calibri"/>
            <w:i/>
          </w:rPr>
          <w:t>Adoption</w:t>
        </w:r>
        <w:r w:rsidRPr="002F0CBF">
          <w:rPr>
            <w:rStyle w:val="ssit"/>
            <w:i/>
          </w:rPr>
          <w:t xml:space="preserve"> of Nancy</w:t>
        </w:r>
        <w:r w:rsidRPr="002F0CBF">
          <w:rPr>
            <w:rStyle w:val="Hyperlink"/>
            <w:color w:val="auto"/>
            <w:u w:val="none"/>
          </w:rPr>
          <w:t>, 443 Mass. at 517</w:t>
        </w:r>
      </w:hyperlink>
      <w:r w:rsidRPr="002F0CBF">
        <w:rPr>
          <w:rStyle w:val="ssleftalign"/>
        </w:rPr>
        <w:t xml:space="preserve">. </w:t>
      </w:r>
      <w:r w:rsidRPr="002F0CBF">
        <w:rPr>
          <w:rStyle w:val="ssleftalign"/>
          <w:i/>
        </w:rPr>
        <w:t>See</w:t>
      </w:r>
      <w:r w:rsidRPr="002F0CBF">
        <w:rPr>
          <w:rStyle w:val="ssleftalign"/>
        </w:rPr>
        <w:t xml:space="preserve"> </w:t>
      </w:r>
      <w:hyperlink r:id="rId14" w:history="1">
        <w:r w:rsidRPr="002F0CBF">
          <w:rPr>
            <w:rStyle w:val="sssh"/>
            <w:rFonts w:eastAsia="Calibri"/>
            <w:i/>
          </w:rPr>
          <w:t>Adoption</w:t>
        </w:r>
        <w:r w:rsidRPr="002F0CBF">
          <w:rPr>
            <w:rStyle w:val="ssit"/>
            <w:i/>
          </w:rPr>
          <w:t xml:space="preserve"> of Paula</w:t>
        </w:r>
        <w:r w:rsidRPr="002F0CBF">
          <w:rPr>
            <w:rStyle w:val="Hyperlink"/>
            <w:color w:val="auto"/>
            <w:u w:val="none"/>
          </w:rPr>
          <w:t>, 420 Mass. 716, 722 n.7 (1995)</w:t>
        </w:r>
      </w:hyperlink>
      <w:r>
        <w:rPr>
          <w:rStyle w:val="ssleftalign"/>
        </w:rPr>
        <w:t xml:space="preserve"> (“</w:t>
      </w:r>
      <w:r w:rsidRPr="002F0CBF">
        <w:rPr>
          <w:rStyle w:val="ssleftalign"/>
        </w:rPr>
        <w:t xml:space="preserve">A fully developed </w:t>
      </w:r>
      <w:r w:rsidRPr="002F0CBF">
        <w:rPr>
          <w:rStyle w:val="sssh"/>
          <w:rFonts w:eastAsia="Calibri"/>
        </w:rPr>
        <w:t>adoption</w:t>
      </w:r>
      <w:r w:rsidRPr="002F0CBF">
        <w:rPr>
          <w:rStyle w:val="ssleftalign"/>
        </w:rPr>
        <w:t xml:space="preserve"> plan, while</w:t>
      </w:r>
      <w:r w:rsidRPr="002F0CBF">
        <w:rPr>
          <w:rStyle w:val="sspagshow"/>
        </w:rPr>
        <w:t> </w:t>
      </w:r>
      <w:r w:rsidRPr="002F0CBF">
        <w:rPr>
          <w:rStyle w:val="ssleftalign"/>
        </w:rPr>
        <w:t xml:space="preserve">preferable, is not an essential element of proof in a petition brought by the department under </w:t>
      </w:r>
      <w:hyperlink r:id="rId15" w:history="1">
        <w:r w:rsidRPr="002F0CBF">
          <w:rPr>
            <w:rStyle w:val="Hyperlink"/>
            <w:color w:val="auto"/>
            <w:u w:val="none"/>
          </w:rPr>
          <w:t>G. L. c. 210, § 3</w:t>
        </w:r>
      </w:hyperlink>
      <w:r>
        <w:rPr>
          <w:rStyle w:val="ssleftalign"/>
        </w:rPr>
        <w:t>”</w:t>
      </w:r>
      <w:r w:rsidRPr="002F0CBF">
        <w:rPr>
          <w:rStyle w:val="ssleftalign"/>
        </w:rPr>
        <w:t>). Here, a continuing legal tie to the mother, whose fitness could not reasonably be foreseen, would be at odds with the goal of stability for the daughter.</w:t>
      </w:r>
    </w:p>
    <w:p w:rsidR="002F0CBF" w:rsidRDefault="002F0CBF" w:rsidP="002F0CBF">
      <w:pPr>
        <w:pStyle w:val="ListParagraph"/>
        <w:snapToGrid w:val="0"/>
        <w:ind w:right="720"/>
        <w:rPr>
          <w:rStyle w:val="ssleftalign"/>
        </w:rPr>
      </w:pPr>
    </w:p>
    <w:p w:rsidR="002F0CBF" w:rsidRDefault="002F0CBF" w:rsidP="002F0CBF">
      <w:pPr>
        <w:pStyle w:val="ListParagraph"/>
        <w:snapToGrid w:val="0"/>
        <w:ind w:left="0"/>
        <w:rPr>
          <w:rStyle w:val="ssleftalign"/>
        </w:rPr>
      </w:pPr>
      <w:r>
        <w:rPr>
          <w:rStyle w:val="ssleftalign"/>
        </w:rPr>
        <w:t xml:space="preserve">No doubt there are cases where a child is better off without any parent than with a dangerous or destabilizing parent.  But in this case, there was no evidence that contact with the mother destabilized this child – if </w:t>
      </w:r>
      <w:r w:rsidR="00CF2C39">
        <w:rPr>
          <w:rStyle w:val="ssleftalign"/>
        </w:rPr>
        <w:t>such evidence existed</w:t>
      </w:r>
      <w:r>
        <w:rPr>
          <w:rStyle w:val="ssleftalign"/>
        </w:rPr>
        <w:t xml:space="preserve">, the trial court wouldn’t have ordered </w:t>
      </w:r>
      <w:r w:rsidR="00CF2C39">
        <w:rPr>
          <w:rStyle w:val="ssleftalign"/>
        </w:rPr>
        <w:t xml:space="preserve">regular </w:t>
      </w:r>
      <w:r>
        <w:rPr>
          <w:rStyle w:val="ssleftalign"/>
        </w:rPr>
        <w:t xml:space="preserve">post-adoption contact – or that termination </w:t>
      </w:r>
      <w:r w:rsidR="00CF2C39">
        <w:rPr>
          <w:rStyle w:val="ssleftalign"/>
        </w:rPr>
        <w:t>would actually “ease”</w:t>
      </w:r>
      <w:r>
        <w:rPr>
          <w:rStyle w:val="ssleftalign"/>
        </w:rPr>
        <w:t xml:space="preserve"> permanency for the child </w:t>
      </w:r>
      <w:r w:rsidR="00CF2C39">
        <w:rPr>
          <w:rStyle w:val="ssleftalign"/>
        </w:rPr>
        <w:t>(</w:t>
      </w:r>
      <w:r>
        <w:rPr>
          <w:rStyle w:val="ssleftalign"/>
        </w:rPr>
        <w:t xml:space="preserve">other than </w:t>
      </w:r>
      <w:r w:rsidR="00610741">
        <w:rPr>
          <w:rStyle w:val="ssleftalign"/>
        </w:rPr>
        <w:t xml:space="preserve">easing the child toward </w:t>
      </w:r>
      <w:r>
        <w:rPr>
          <w:rStyle w:val="ssleftalign"/>
        </w:rPr>
        <w:t>permanent legal orphan status</w:t>
      </w:r>
      <w:r w:rsidR="00CF2C39">
        <w:rPr>
          <w:rStyle w:val="ssleftalign"/>
        </w:rPr>
        <w:t>)</w:t>
      </w:r>
      <w:r>
        <w:rPr>
          <w:rStyle w:val="ssleftalign"/>
        </w:rPr>
        <w:t>.</w:t>
      </w:r>
    </w:p>
    <w:p w:rsidR="002F0CBF" w:rsidRDefault="002F0CBF" w:rsidP="002F0CBF">
      <w:pPr>
        <w:pStyle w:val="ListParagraph"/>
        <w:snapToGrid w:val="0"/>
        <w:ind w:left="0"/>
        <w:rPr>
          <w:rStyle w:val="ssleftalign"/>
        </w:rPr>
      </w:pPr>
    </w:p>
    <w:p w:rsidR="002F0CBF" w:rsidRPr="002F0CBF" w:rsidRDefault="002F0CBF" w:rsidP="002F0CBF">
      <w:pPr>
        <w:pStyle w:val="ListParagraph"/>
        <w:snapToGrid w:val="0"/>
        <w:ind w:left="0"/>
      </w:pPr>
      <w:r>
        <w:rPr>
          <w:rStyle w:val="ssleftalign"/>
        </w:rPr>
        <w:t xml:space="preserve">But </w:t>
      </w:r>
      <w:r w:rsidR="00CF2C39">
        <w:rPr>
          <w:rStyle w:val="ssleftalign"/>
        </w:rPr>
        <w:t>befuddlement</w:t>
      </w:r>
      <w:r>
        <w:rPr>
          <w:rStyle w:val="ssleftalign"/>
        </w:rPr>
        <w:t xml:space="preserve"> over </w:t>
      </w:r>
      <w:r w:rsidR="007672CA">
        <w:rPr>
          <w:rStyle w:val="ssleftalign"/>
        </w:rPr>
        <w:t xml:space="preserve">the </w:t>
      </w:r>
      <w:r w:rsidR="00610741">
        <w:rPr>
          <w:rStyle w:val="ssleftalign"/>
        </w:rPr>
        <w:t>language</w:t>
      </w:r>
      <w:r w:rsidR="007672CA">
        <w:rPr>
          <w:rStyle w:val="ssleftalign"/>
        </w:rPr>
        <w:t xml:space="preserve"> in </w:t>
      </w:r>
      <w:r w:rsidR="007672CA" w:rsidRPr="007672CA">
        <w:rPr>
          <w:rStyle w:val="ssleftalign"/>
          <w:u w:val="single"/>
        </w:rPr>
        <w:t>Zach</w:t>
      </w:r>
      <w:r w:rsidR="007672CA">
        <w:rPr>
          <w:rStyle w:val="ssleftalign"/>
        </w:rPr>
        <w:t xml:space="preserve"> only gets us so far.  What does </w:t>
      </w:r>
      <w:r w:rsidR="007672CA" w:rsidRPr="007672CA">
        <w:rPr>
          <w:rStyle w:val="ssleftalign"/>
          <w:u w:val="single"/>
        </w:rPr>
        <w:t>Zach</w:t>
      </w:r>
      <w:r w:rsidR="007672CA">
        <w:rPr>
          <w:rStyle w:val="ssleftalign"/>
        </w:rPr>
        <w:t xml:space="preserve"> teach us about legal orphan cases?  It teaches us that more must be done at the trial level to show the court that termination will not serve </w:t>
      </w:r>
      <w:r w:rsidR="00CF2C39" w:rsidRPr="00CF2C39">
        <w:rPr>
          <w:rStyle w:val="ssleftalign"/>
          <w:i/>
        </w:rPr>
        <w:t>that particular</w:t>
      </w:r>
      <w:r w:rsidR="007672CA" w:rsidRPr="00CF2C39">
        <w:rPr>
          <w:rStyle w:val="ssleftalign"/>
          <w:i/>
        </w:rPr>
        <w:t xml:space="preserve"> child’s</w:t>
      </w:r>
      <w:r w:rsidR="007672CA">
        <w:rPr>
          <w:rStyle w:val="ssleftalign"/>
        </w:rPr>
        <w:t xml:space="preserve"> best interests.  Parents’ or child’s counsel should retain a mental health expert (using ICCA funds) who will testify that (a) the child does not want to be adopted</w:t>
      </w:r>
      <w:r w:rsidR="00CF2C39">
        <w:rPr>
          <w:rStyle w:val="ssleftalign"/>
        </w:rPr>
        <w:t>;</w:t>
      </w:r>
      <w:r w:rsidR="007672CA">
        <w:rPr>
          <w:rStyle w:val="ssleftalign"/>
        </w:rPr>
        <w:t xml:space="preserve"> (b) the child will not be stabilized by terminating parental rights</w:t>
      </w:r>
      <w:r w:rsidR="00CF2C39">
        <w:rPr>
          <w:rStyle w:val="ssleftalign"/>
        </w:rPr>
        <w:t>;</w:t>
      </w:r>
      <w:r w:rsidR="007672CA">
        <w:rPr>
          <w:rStyle w:val="ssleftalign"/>
        </w:rPr>
        <w:t xml:space="preserve"> (c) the child will suffer harm if her loss of a parent isn’t mediated by the gain of a new permanent</w:t>
      </w:r>
      <w:r w:rsidR="00CF2C39">
        <w:rPr>
          <w:rStyle w:val="ssleftalign"/>
        </w:rPr>
        <w:t>, loving</w:t>
      </w:r>
      <w:r w:rsidR="007672CA">
        <w:rPr>
          <w:rStyle w:val="ssleftalign"/>
        </w:rPr>
        <w:t xml:space="preserve"> caretaker, </w:t>
      </w:r>
      <w:r w:rsidR="00CF2C39">
        <w:rPr>
          <w:rStyle w:val="ssleftalign"/>
        </w:rPr>
        <w:t xml:space="preserve">which is unlikely or impossible in this case; </w:t>
      </w:r>
      <w:r w:rsidR="007672CA">
        <w:rPr>
          <w:rStyle w:val="ssleftalign"/>
        </w:rPr>
        <w:t xml:space="preserve">and (d) care by a foster parent, program, or facility will harm the child long-term if she </w:t>
      </w:r>
      <w:r w:rsidR="003A6109">
        <w:rPr>
          <w:rStyle w:val="ssleftalign"/>
        </w:rPr>
        <w:t xml:space="preserve">is </w:t>
      </w:r>
      <w:r w:rsidR="00CF2C39">
        <w:rPr>
          <w:rStyle w:val="ssleftalign"/>
        </w:rPr>
        <w:t xml:space="preserve">legally deprived of the only loving caretaker she will ever have.  The child’s therapist can also testify to this.  Better yet, use the child’s therapist </w:t>
      </w:r>
      <w:r w:rsidR="00CF2C39" w:rsidRPr="00CF2C39">
        <w:rPr>
          <w:rStyle w:val="ssleftalign"/>
          <w:i/>
        </w:rPr>
        <w:t>and</w:t>
      </w:r>
      <w:r w:rsidR="00CF2C39">
        <w:rPr>
          <w:rStyle w:val="ssleftalign"/>
        </w:rPr>
        <w:t xml:space="preserve"> an expert.  CAFL Administration has some materials on the bleak outcomes for legal orphans.  </w:t>
      </w:r>
      <w:r w:rsidR="00CF2C39" w:rsidRPr="00CF2C39">
        <w:rPr>
          <w:rStyle w:val="ssleftalign"/>
          <w:i/>
        </w:rPr>
        <w:t>Please</w:t>
      </w:r>
      <w:r w:rsidR="00CF2C39">
        <w:rPr>
          <w:rStyle w:val="ssleftalign"/>
        </w:rPr>
        <w:t xml:space="preserve"> use it to educate your trial judge and the Appeals Court.</w:t>
      </w:r>
    </w:p>
    <w:p w:rsidR="004C3C6A" w:rsidRPr="004C3C6A" w:rsidRDefault="004C3C6A" w:rsidP="004C3C6A">
      <w:pPr>
        <w:pStyle w:val="ListParagraph"/>
        <w:rPr>
          <w:u w:val="single"/>
        </w:rPr>
      </w:pPr>
    </w:p>
    <w:p w:rsidR="00606A93" w:rsidRDefault="004069BB" w:rsidP="00606A93">
      <w:pPr>
        <w:pStyle w:val="ListParagraph"/>
        <w:numPr>
          <w:ilvl w:val="0"/>
          <w:numId w:val="27"/>
        </w:numPr>
        <w:snapToGrid w:val="0"/>
        <w:ind w:left="0" w:firstLine="0"/>
      </w:pPr>
      <w:r>
        <w:rPr>
          <w:u w:val="single"/>
        </w:rPr>
        <w:t>Adoption of Yancy</w:t>
      </w:r>
      <w:r>
        <w:t xml:space="preserve">, </w:t>
      </w:r>
      <w:r w:rsidR="005C6EB2" w:rsidRPr="005C6EB2">
        <w:t>86 Mass. App. Ct. 1118</w:t>
      </w:r>
      <w:r w:rsidR="005C6EB2">
        <w:t xml:space="preserve">, No. 14-P-472 (November 3, 2014).  </w:t>
      </w:r>
      <w:r w:rsidR="00F423DD">
        <w:t xml:space="preserve">This case is interesting only because of DCF’s flip-flop of position on appeal.  At trial, DCF argued that the parental rights of both mother and father should be terminated.  The trial court disagreed and gave the father custody.  On appeal, </w:t>
      </w:r>
      <w:r w:rsidR="00606A93">
        <w:t>DCF changed position and supported the judge’s decision.</w:t>
      </w:r>
      <w:r w:rsidR="00F423DD">
        <w:t xml:space="preserve">  </w:t>
      </w:r>
    </w:p>
    <w:p w:rsidR="00606A93" w:rsidRDefault="00606A93" w:rsidP="00606A93">
      <w:pPr>
        <w:pStyle w:val="ListParagraph"/>
        <w:snapToGrid w:val="0"/>
        <w:ind w:left="0"/>
      </w:pPr>
    </w:p>
    <w:p w:rsidR="00645361" w:rsidRDefault="00645361" w:rsidP="003A6109">
      <w:pPr>
        <w:snapToGrid w:val="0"/>
      </w:pPr>
      <w:r>
        <w:t>DCF does not like it when children change positions on appeal</w:t>
      </w:r>
      <w:r w:rsidR="00F423DD">
        <w:t>.  Why?  B</w:t>
      </w:r>
      <w:r>
        <w:t>ecause</w:t>
      </w:r>
      <w:r w:rsidR="003A6109">
        <w:t>,</w:t>
      </w:r>
      <w:r>
        <w:t xml:space="preserve"> when this happens</w:t>
      </w:r>
      <w:r w:rsidR="00F423DD">
        <w:t xml:space="preserve">, it usually means that the children no longer support DCF’s position.  DCF has even </w:t>
      </w:r>
      <w:r w:rsidR="00F423DD">
        <w:lastRenderedPageBreak/>
        <w:t xml:space="preserve">filed the occasional motion to strike a child’s brief on this basis.  But here it’s DCF that flip-flopped.  If you represent a child who has changed position on appeal and DCF moves to strike your brief, </w:t>
      </w:r>
      <w:r w:rsidR="00F423DD" w:rsidRPr="00F423DD">
        <w:rPr>
          <w:u w:val="single"/>
        </w:rPr>
        <w:t>Yancy</w:t>
      </w:r>
      <w:r w:rsidR="00F423DD">
        <w:t xml:space="preserve"> would be a good case to cite.  </w:t>
      </w:r>
      <w:r w:rsidR="00EE42BD">
        <w:t xml:space="preserve">  </w:t>
      </w:r>
    </w:p>
    <w:p w:rsidR="001B10C7" w:rsidRDefault="001B10C7" w:rsidP="001B10C7">
      <w:pPr>
        <w:pStyle w:val="ListParagraph"/>
        <w:snapToGrid w:val="0"/>
        <w:ind w:left="0"/>
      </w:pPr>
    </w:p>
    <w:p w:rsidR="006844E6" w:rsidRDefault="001B10C7" w:rsidP="00781421">
      <w:pPr>
        <w:pStyle w:val="ListParagraph"/>
        <w:numPr>
          <w:ilvl w:val="0"/>
          <w:numId w:val="27"/>
        </w:numPr>
        <w:snapToGrid w:val="0"/>
        <w:ind w:left="0" w:firstLine="0"/>
      </w:pPr>
      <w:r>
        <w:rPr>
          <w:u w:val="single"/>
        </w:rPr>
        <w:t>Adoption of Addison</w:t>
      </w:r>
      <w:r>
        <w:t xml:space="preserve">, </w:t>
      </w:r>
      <w:r w:rsidRPr="001B10C7">
        <w:t>86 Mass. App. Ct. 1119</w:t>
      </w:r>
      <w:r>
        <w:t>, No. 14-P-197 (November 12, 2014).</w:t>
      </w:r>
      <w:r w:rsidR="00A56CF3">
        <w:t xml:space="preserve"> </w:t>
      </w:r>
      <w:r w:rsidR="00781421">
        <w:t xml:space="preserve"> One of the evidentiary holdings in this case is even more </w:t>
      </w:r>
      <w:r w:rsidR="003A6109">
        <w:t>perplexing</w:t>
      </w:r>
      <w:r w:rsidR="00781421">
        <w:t xml:space="preserve"> than the typographical error in </w:t>
      </w:r>
      <w:r w:rsidR="00781421" w:rsidRPr="00781421">
        <w:rPr>
          <w:u w:val="single"/>
        </w:rPr>
        <w:t>Yasha</w:t>
      </w:r>
      <w:r w:rsidR="00781421">
        <w:t>.  Here</w:t>
      </w:r>
      <w:r w:rsidR="00A56CF3">
        <w:t>, the mother</w:t>
      </w:r>
      <w:r w:rsidR="00781421">
        <w:t xml:space="preserve"> argued that the trial judge erred in admitting hearsay statements in </w:t>
      </w:r>
      <w:r w:rsidR="003A6109">
        <w:t xml:space="preserve">       </w:t>
      </w:r>
      <w:r w:rsidR="00781421">
        <w:t xml:space="preserve">§ 51B reports and in admitting stale DCF court reports that concerned mother’s child in a prior proceeding.  The panel held that all of the statements were admissible.  As for the hearsay in </w:t>
      </w:r>
      <w:r w:rsidR="003A6109">
        <w:t xml:space="preserve">      </w:t>
      </w:r>
      <w:r w:rsidR="00781421">
        <w:t xml:space="preserve">§ 51Bs, the panel cited </w:t>
      </w:r>
      <w:r w:rsidR="00781421" w:rsidRPr="007A53C8">
        <w:rPr>
          <w:u w:val="single"/>
        </w:rPr>
        <w:t>Care and Protection of Benjamin</w:t>
      </w:r>
      <w:r w:rsidR="00781421">
        <w:t xml:space="preserve"> for the proposition that traditional rules of hearsay are not followed in these cases.  But </w:t>
      </w:r>
      <w:r w:rsidR="00781421" w:rsidRPr="007A53C8">
        <w:rPr>
          <w:u w:val="single"/>
        </w:rPr>
        <w:t>Benjamin</w:t>
      </w:r>
      <w:r w:rsidR="00781421">
        <w:t xml:space="preserve"> stands for the </w:t>
      </w:r>
      <w:r w:rsidR="00781421" w:rsidRPr="00781421">
        <w:rPr>
          <w:i/>
        </w:rPr>
        <w:t>opposite</w:t>
      </w:r>
      <w:r w:rsidR="007A53C8">
        <w:t xml:space="preserve"> proposition:  the rules of evidence must be followed.</w:t>
      </w:r>
      <w:r w:rsidR="00781421">
        <w:t xml:space="preserve">  Indeed, the footnote in </w:t>
      </w:r>
      <w:r w:rsidR="00781421" w:rsidRPr="007A53C8">
        <w:rPr>
          <w:u w:val="single"/>
        </w:rPr>
        <w:t>Benjamin</w:t>
      </w:r>
      <w:r w:rsidR="00781421">
        <w:t xml:space="preserve"> </w:t>
      </w:r>
      <w:r w:rsidR="007A53C8">
        <w:t>explains</w:t>
      </w:r>
      <w:r w:rsidR="00781421">
        <w:t xml:space="preserve"> that the only exceptions to the hearsay exclusionary rule are statutory, citing §§ 21 (court investigator reports and DCF “status letters”) and 29 (service plans).  Section 51B reports are, of course, neither of those things.  The panel seems to have been confused, because it then cites </w:t>
      </w:r>
      <w:r w:rsidR="00781421" w:rsidRPr="007A53C8">
        <w:rPr>
          <w:u w:val="single"/>
        </w:rPr>
        <w:t>Care and Protection of Bruce</w:t>
      </w:r>
      <w:r w:rsidR="00781421">
        <w:t xml:space="preserve"> for the proposition that </w:t>
      </w:r>
      <w:r w:rsidR="007A53C8">
        <w:t xml:space="preserve">hearsay in the § 51B reports is admissible.  But </w:t>
      </w:r>
      <w:r w:rsidR="007A53C8" w:rsidRPr="006844E6">
        <w:rPr>
          <w:u w:val="single"/>
        </w:rPr>
        <w:t>Bruce</w:t>
      </w:r>
      <w:r w:rsidR="007A53C8">
        <w:t xml:space="preserve"> does not speak to § 51B reports; it addresses DCF’s “status letters” under § 21.  </w:t>
      </w:r>
    </w:p>
    <w:p w:rsidR="006844E6" w:rsidRDefault="006844E6" w:rsidP="006844E6">
      <w:pPr>
        <w:pStyle w:val="ListParagraph"/>
        <w:snapToGrid w:val="0"/>
        <w:ind w:left="0"/>
      </w:pPr>
    </w:p>
    <w:p w:rsidR="007A53C8" w:rsidRDefault="007A53C8" w:rsidP="006844E6">
      <w:pPr>
        <w:pStyle w:val="ListParagraph"/>
        <w:snapToGrid w:val="0"/>
        <w:ind w:left="0"/>
      </w:pPr>
      <w:r>
        <w:t xml:space="preserve">To be fair, the issue of the admissibility of hearsay in § 51B reports is, at best, unclear.  </w:t>
      </w:r>
      <w:r w:rsidR="006844E6" w:rsidRPr="006844E6">
        <w:rPr>
          <w:u w:val="single"/>
        </w:rPr>
        <w:t>Adoption of George</w:t>
      </w:r>
      <w:r w:rsidR="006844E6">
        <w:t xml:space="preserve"> suggests that hearsay is admissible in § 51Bs, but it doesn’t say so explicitly, and cases in other fields clearly state that hearsay is inadmissible in official records.  Still, </w:t>
      </w:r>
      <w:r>
        <w:t xml:space="preserve">the Appeals Court did nobody any favors in </w:t>
      </w:r>
      <w:r w:rsidRPr="006844E6">
        <w:rPr>
          <w:u w:val="single"/>
        </w:rPr>
        <w:t>Addison</w:t>
      </w:r>
      <w:r>
        <w:t xml:space="preserve"> by confusing the rules governing very different types of reports.</w:t>
      </w:r>
    </w:p>
    <w:p w:rsidR="007A53C8" w:rsidRDefault="007A53C8" w:rsidP="007A53C8">
      <w:pPr>
        <w:pStyle w:val="ListParagraph"/>
        <w:snapToGrid w:val="0"/>
        <w:ind w:left="0"/>
      </w:pPr>
    </w:p>
    <w:p w:rsidR="007A53C8" w:rsidRDefault="007A53C8" w:rsidP="007A53C8">
      <w:pPr>
        <w:pStyle w:val="ListParagraph"/>
        <w:snapToGrid w:val="0"/>
        <w:ind w:left="0"/>
      </w:pPr>
      <w:r>
        <w:t>The panel was on surer ground as to the mother’s second argument, the admissibility of the (actual) § 21 DCF status letters.  The mother objected to the letters on one basis at trial, but switched to a different argument – t</w:t>
      </w:r>
      <w:r w:rsidR="006844E6">
        <w:t>hat t</w:t>
      </w:r>
      <w:r>
        <w:t xml:space="preserve">he letters addressed a different child in a prior proceeding – on appeal.  The court rejected </w:t>
      </w:r>
      <w:r w:rsidR="006844E6">
        <w:t>her</w:t>
      </w:r>
      <w:r>
        <w:t xml:space="preserve"> argument:</w:t>
      </w:r>
    </w:p>
    <w:p w:rsidR="006844E6" w:rsidRDefault="006844E6" w:rsidP="007A53C8">
      <w:pPr>
        <w:pStyle w:val="ListParagraph"/>
        <w:snapToGrid w:val="0"/>
        <w:ind w:left="0"/>
        <w:rPr>
          <w:rStyle w:val="ssleftalign"/>
        </w:rPr>
      </w:pPr>
    </w:p>
    <w:p w:rsidR="007A53C8" w:rsidRPr="006844E6" w:rsidRDefault="006844E6" w:rsidP="006844E6">
      <w:pPr>
        <w:pStyle w:val="ListParagraph"/>
        <w:snapToGrid w:val="0"/>
        <w:ind w:right="720"/>
      </w:pPr>
      <w:r w:rsidRPr="006844E6">
        <w:rPr>
          <w:rStyle w:val="ssleftalign"/>
        </w:rPr>
        <w:t xml:space="preserve">On appeal, the mother posits that the letters in question do not comport with the requirements established by </w:t>
      </w:r>
      <w:r w:rsidRPr="006844E6">
        <w:rPr>
          <w:rStyle w:val="sssh"/>
          <w:u w:val="single"/>
        </w:rPr>
        <w:t>Adoption</w:t>
      </w:r>
      <w:r w:rsidRPr="006844E6">
        <w:rPr>
          <w:rStyle w:val="ssit"/>
          <w:u w:val="single"/>
        </w:rPr>
        <w:t xml:space="preserve"> of Bruce</w:t>
      </w:r>
      <w:r w:rsidRPr="006844E6">
        <w:rPr>
          <w:rStyle w:val="ssleftalign"/>
        </w:rPr>
        <w:t xml:space="preserve">, as they refer to Robert, a different child from a different case. </w:t>
      </w:r>
      <w:r>
        <w:rPr>
          <w:rStyle w:val="ssleftalign"/>
        </w:rPr>
        <w:t xml:space="preserve"> However, “</w:t>
      </w:r>
      <w:r w:rsidRPr="006844E6">
        <w:rPr>
          <w:rStyle w:val="ssleftalign"/>
        </w:rPr>
        <w:t>[a] party may</w:t>
      </w:r>
      <w:r w:rsidRPr="006844E6">
        <w:rPr>
          <w:rStyle w:val="sspagshow"/>
        </w:rPr>
        <w:t> </w:t>
      </w:r>
      <w:r w:rsidRPr="006844E6">
        <w:rPr>
          <w:rStyle w:val="ssleftalign"/>
        </w:rPr>
        <w:t>not raise an issue before the trial court on one ground, and then present that issue to an appellate court on a different ground.</w:t>
      </w:r>
      <w:r>
        <w:rPr>
          <w:rStyle w:val="ssleftalign"/>
        </w:rPr>
        <w:t>”</w:t>
      </w:r>
      <w:r w:rsidRPr="006844E6">
        <w:rPr>
          <w:rStyle w:val="ssleftalign"/>
        </w:rPr>
        <w:t xml:space="preserve"> </w:t>
      </w:r>
      <w:r>
        <w:rPr>
          <w:rStyle w:val="ssleftalign"/>
        </w:rPr>
        <w:t xml:space="preserve"> </w:t>
      </w:r>
      <w:hyperlink r:id="rId16" w:history="1">
        <w:r w:rsidRPr="006844E6">
          <w:rPr>
            <w:rStyle w:val="sssh"/>
            <w:u w:val="single"/>
          </w:rPr>
          <w:t>Adoption</w:t>
        </w:r>
        <w:r w:rsidRPr="006844E6">
          <w:rPr>
            <w:rStyle w:val="ssit"/>
            <w:u w:val="single"/>
          </w:rPr>
          <w:t xml:space="preserve"> of Astrid</w:t>
        </w:r>
        <w:r w:rsidRPr="006844E6">
          <w:rPr>
            <w:rStyle w:val="Hyperlink"/>
            <w:rFonts w:eastAsia="Calibri"/>
            <w:color w:val="auto"/>
            <w:u w:val="none"/>
          </w:rPr>
          <w:t>, 45 Mass. App. Ct. 538, 542, 700 N.E.2d 275 (1998)</w:t>
        </w:r>
      </w:hyperlink>
      <w:r w:rsidRPr="006844E6">
        <w:rPr>
          <w:rStyle w:val="ssleftalign"/>
        </w:rPr>
        <w:t xml:space="preserve">. </w:t>
      </w:r>
      <w:r>
        <w:rPr>
          <w:rStyle w:val="ssleftalign"/>
        </w:rPr>
        <w:t xml:space="preserve"> </w:t>
      </w:r>
      <w:r w:rsidRPr="006844E6">
        <w:rPr>
          <w:rStyle w:val="ssleftalign"/>
          <w:i/>
        </w:rPr>
        <w:t>See</w:t>
      </w:r>
      <w:r w:rsidRPr="006844E6">
        <w:rPr>
          <w:rStyle w:val="ssleftalign"/>
        </w:rPr>
        <w:t xml:space="preserve"> </w:t>
      </w:r>
      <w:hyperlink r:id="rId17" w:history="1">
        <w:r w:rsidRPr="006844E6">
          <w:rPr>
            <w:rStyle w:val="sssh"/>
            <w:u w:val="single"/>
          </w:rPr>
          <w:t>Adoption</w:t>
        </w:r>
        <w:r w:rsidRPr="006844E6">
          <w:rPr>
            <w:rStyle w:val="ssit"/>
            <w:u w:val="single"/>
          </w:rPr>
          <w:t xml:space="preserve"> of Flora</w:t>
        </w:r>
        <w:r w:rsidRPr="006844E6">
          <w:rPr>
            <w:rStyle w:val="Hyperlink"/>
            <w:rFonts w:eastAsia="Calibri"/>
            <w:color w:val="auto"/>
            <w:u w:val="none"/>
          </w:rPr>
          <w:t>, 60 Mass. App. Ct. 334, 340 n.10, 801 N.E.2d 806 (2004)</w:t>
        </w:r>
      </w:hyperlink>
      <w:r w:rsidRPr="006844E6">
        <w:rPr>
          <w:rStyle w:val="ssleftalign"/>
        </w:rPr>
        <w:t>. Therefore, the mother failed to properly preserve for appeal the evidentiary issue regarding the unsworn letters, and we need not consider it here.</w:t>
      </w:r>
    </w:p>
    <w:p w:rsidR="00C3788F" w:rsidRPr="006844E6" w:rsidRDefault="00C3788F" w:rsidP="00C3788F">
      <w:pPr>
        <w:pStyle w:val="ListParagraph"/>
        <w:snapToGrid w:val="0"/>
        <w:ind w:left="0"/>
      </w:pPr>
    </w:p>
    <w:p w:rsidR="001B10C7" w:rsidRDefault="00496ADD" w:rsidP="006844E6">
      <w:pPr>
        <w:pStyle w:val="ListParagraph"/>
        <w:snapToGrid w:val="0"/>
        <w:ind w:left="0"/>
      </w:pPr>
      <w:r>
        <w:t xml:space="preserve">It’s unusual to see the Appeals Court </w:t>
      </w:r>
      <w:r w:rsidR="006844E6">
        <w:t xml:space="preserve">nitpick to this extent.  But the law is clear; </w:t>
      </w:r>
      <w:r>
        <w:t xml:space="preserve">even if an issue is preserved </w:t>
      </w:r>
      <w:r w:rsidR="00C3788F">
        <w:t xml:space="preserve">on one ground </w:t>
      </w:r>
      <w:r>
        <w:t>below, the Appeals Court</w:t>
      </w:r>
      <w:r w:rsidR="00C3788F">
        <w:t xml:space="preserve"> may refuse to address it if </w:t>
      </w:r>
      <w:r w:rsidR="006844E6">
        <w:t>counsel raises a different</w:t>
      </w:r>
      <w:r>
        <w:t xml:space="preserve"> ground</w:t>
      </w:r>
      <w:r w:rsidR="00C3788F">
        <w:t xml:space="preserve"> on appeal</w:t>
      </w:r>
      <w:r>
        <w:t>.</w:t>
      </w:r>
    </w:p>
    <w:p w:rsidR="00C7043C" w:rsidRDefault="00C7043C" w:rsidP="00C7043C">
      <w:pPr>
        <w:pStyle w:val="ListParagraph"/>
        <w:snapToGrid w:val="0"/>
        <w:ind w:left="0"/>
      </w:pPr>
    </w:p>
    <w:p w:rsidR="002B657D" w:rsidRDefault="006C0D7B" w:rsidP="00606A93">
      <w:pPr>
        <w:pStyle w:val="ListParagraph"/>
        <w:numPr>
          <w:ilvl w:val="0"/>
          <w:numId w:val="27"/>
        </w:numPr>
        <w:snapToGrid w:val="0"/>
        <w:ind w:left="0" w:firstLine="0"/>
      </w:pPr>
      <w:r>
        <w:rPr>
          <w:u w:val="single"/>
        </w:rPr>
        <w:t>Care and Protection of Bancroft</w:t>
      </w:r>
      <w:r w:rsidR="00A7040B">
        <w:t xml:space="preserve">, </w:t>
      </w:r>
      <w:r w:rsidR="00A7040B" w:rsidRPr="00A7040B">
        <w:t>86 Mass. App. Ct. 1120</w:t>
      </w:r>
      <w:r>
        <w:t>, No. 13-P-1963 (November 14, 2014).  The mother and her younger child</w:t>
      </w:r>
      <w:r w:rsidR="00936A2D">
        <w:t>,</w:t>
      </w:r>
      <w:r>
        <w:t xml:space="preserve"> Bancroft</w:t>
      </w:r>
      <w:r w:rsidR="00936A2D">
        <w:t>,</w:t>
      </w:r>
      <w:r>
        <w:t xml:space="preserve"> appealed the judge’s </w:t>
      </w:r>
      <w:r w:rsidR="00936A2D">
        <w:t xml:space="preserve">unfitness </w:t>
      </w:r>
      <w:r>
        <w:t>determination. (The mother also appealed the termination of her parental rights as to her older child.)  The trial judge relied heavily on</w:t>
      </w:r>
      <w:r w:rsidR="00B64B4E">
        <w:t xml:space="preserve"> the</w:t>
      </w:r>
      <w:r>
        <w:t xml:space="preserve"> mother’s past </w:t>
      </w:r>
      <w:r w:rsidR="00B64B4E">
        <w:t xml:space="preserve">abusive relationships. </w:t>
      </w:r>
      <w:r>
        <w:t xml:space="preserve"> </w:t>
      </w:r>
      <w:r w:rsidR="00B55C97">
        <w:t xml:space="preserve">At trial, the </w:t>
      </w:r>
      <w:r w:rsidR="00B55C97">
        <w:lastRenderedPageBreak/>
        <w:t>mother testified that her current boyfriend was not abusive</w:t>
      </w:r>
      <w:r w:rsidR="00936A2D">
        <w:t>.  T</w:t>
      </w:r>
      <w:r w:rsidR="00B55C97">
        <w:t>here was no evidence</w:t>
      </w:r>
      <w:r w:rsidR="00B64B4E">
        <w:t xml:space="preserve"> to </w:t>
      </w:r>
      <w:r w:rsidR="00936A2D">
        <w:t>the contra</w:t>
      </w:r>
      <w:r w:rsidR="00E848A1">
        <w:t>r</w:t>
      </w:r>
      <w:r w:rsidR="00936A2D">
        <w:t>y</w:t>
      </w:r>
      <w:r w:rsidR="00B64B4E">
        <w:t>.  But</w:t>
      </w:r>
      <w:r w:rsidR="00B55C97">
        <w:t xml:space="preserve"> the judge discredited her testimony and found that she </w:t>
      </w:r>
      <w:r w:rsidR="00B64B4E">
        <w:t>“</w:t>
      </w:r>
      <w:r w:rsidR="00B55C97">
        <w:t>did not have sufficient information</w:t>
      </w:r>
      <w:r w:rsidR="00B64B4E">
        <w:t>”</w:t>
      </w:r>
      <w:r w:rsidR="00B55C97">
        <w:t xml:space="preserve"> to determine whether the current boyfriend was abusive.  The mother argued that this constituted improper burden shifting</w:t>
      </w:r>
      <w:r w:rsidR="00936A2D">
        <w:t>, but t</w:t>
      </w:r>
      <w:r w:rsidR="00B64B4E">
        <w:t>he panel disagreed, stating, “[t]</w:t>
      </w:r>
      <w:r w:rsidR="00B55C97">
        <w:t>he judge was entitled to discredit mother’s uncontroverted testimony and determine that the record lacked credible e</w:t>
      </w:r>
      <w:r w:rsidR="00132EA7">
        <w:t xml:space="preserve">vidence on this issue.” </w:t>
      </w:r>
      <w:r w:rsidR="00A7040B">
        <w:t xml:space="preserve"> </w:t>
      </w:r>
    </w:p>
    <w:p w:rsidR="00B64B4E" w:rsidRDefault="00B64B4E" w:rsidP="00B64B4E">
      <w:pPr>
        <w:pStyle w:val="ListParagraph"/>
        <w:snapToGrid w:val="0"/>
        <w:ind w:left="0"/>
        <w:rPr>
          <w:u w:val="single"/>
        </w:rPr>
      </w:pPr>
    </w:p>
    <w:p w:rsidR="00B64B4E" w:rsidRPr="00B64B4E" w:rsidRDefault="002767CB" w:rsidP="00B64B4E">
      <w:pPr>
        <w:pStyle w:val="ListParagraph"/>
        <w:snapToGrid w:val="0"/>
        <w:ind w:left="0"/>
      </w:pPr>
      <w:r>
        <w:t xml:space="preserve">Judges, of course, cannot find facts based purely on discrediting witnesses.  </w:t>
      </w:r>
      <w:r w:rsidRPr="002767CB">
        <w:rPr>
          <w:i/>
        </w:rPr>
        <w:t>See</w:t>
      </w:r>
      <w:r>
        <w:t xml:space="preserve"> </w:t>
      </w:r>
      <w:r w:rsidR="009B24BA" w:rsidRPr="009B24BA">
        <w:rPr>
          <w:u w:val="single"/>
        </w:rPr>
        <w:t>Atkinson v. Rosenthal</w:t>
      </w:r>
      <w:r w:rsidR="009B24BA">
        <w:t>, 33 Mass. App. Ct. 219, 224 (1992) (“</w:t>
      </w:r>
      <w:r w:rsidR="009B24BA">
        <w:rPr>
          <w:rStyle w:val="ssrfcpassagedeactivated"/>
        </w:rPr>
        <w:t xml:space="preserve">disbelieving evidence does not establish the contrary proposition”); </w:t>
      </w:r>
      <w:r w:rsidR="009B24BA" w:rsidRPr="009B24BA">
        <w:rPr>
          <w:u w:val="single"/>
        </w:rPr>
        <w:t>Kunkel v. Alger</w:t>
      </w:r>
      <w:r w:rsidR="009B24BA">
        <w:t>, 10 Mass. App. Ct. 76, 86 (1980) (“</w:t>
      </w:r>
      <w:r w:rsidR="009B24BA">
        <w:rPr>
          <w:rStyle w:val="ssrfcpassagedeactivated"/>
        </w:rPr>
        <w:t>It is settled that mere disbelief of testimony does not constitute evidence to the contrary.”)</w:t>
      </w:r>
      <w:r>
        <w:t xml:space="preserve">.  Accordingly, a judge can’t make a finding:  “Father testified that he never used drugs, but I don’t find him credible, so he did use drugs.”   (A judge </w:t>
      </w:r>
      <w:r w:rsidRPr="002767CB">
        <w:rPr>
          <w:i/>
        </w:rPr>
        <w:t>can</w:t>
      </w:r>
      <w:r>
        <w:t xml:space="preserve"> do this if there is other evidence that the father used drugs.)  But </w:t>
      </w:r>
      <w:r w:rsidRPr="002767CB">
        <w:rPr>
          <w:u w:val="single"/>
        </w:rPr>
        <w:t>Bancroft</w:t>
      </w:r>
      <w:r>
        <w:t xml:space="preserve"> is a bit different.  The judge here didn’t find that the boyfriend was abusive as a result of discrediting the mother’s testimony that he wasn’t.  Rather, the judge found that there was </w:t>
      </w:r>
      <w:r w:rsidRPr="009B24BA">
        <w:rPr>
          <w:i/>
        </w:rPr>
        <w:t>no</w:t>
      </w:r>
      <w:r>
        <w:t xml:space="preserve"> evidence about whether the boyfriend was abusive, because the only evidence on point came from the mother and she didn’t believe the mother.  That is permissible.  Judges don’t have to believe witnesses just because there is no evidence to the contrary.</w:t>
      </w:r>
    </w:p>
    <w:p w:rsidR="00B55C97" w:rsidRDefault="00B55C97" w:rsidP="00B55C97">
      <w:pPr>
        <w:pStyle w:val="ListParagraph"/>
      </w:pPr>
    </w:p>
    <w:p w:rsidR="00B55C97" w:rsidRDefault="00F02DF5" w:rsidP="007365E9">
      <w:pPr>
        <w:pStyle w:val="ListParagraph"/>
        <w:numPr>
          <w:ilvl w:val="0"/>
          <w:numId w:val="27"/>
        </w:numPr>
        <w:snapToGrid w:val="0"/>
        <w:ind w:left="0" w:firstLine="0"/>
      </w:pPr>
      <w:r w:rsidRPr="007365E9">
        <w:rPr>
          <w:u w:val="single"/>
        </w:rPr>
        <w:t>Adoption of Bella</w:t>
      </w:r>
      <w:r w:rsidR="00AF6C18">
        <w:t xml:space="preserve">, </w:t>
      </w:r>
      <w:r w:rsidR="00AF6C18" w:rsidRPr="00AF6C18">
        <w:t>86 Mass. App. Ct. 1121</w:t>
      </w:r>
      <w:r>
        <w:t xml:space="preserve">, No. 13-P-1739 (November 21, 2014). </w:t>
      </w:r>
      <w:r w:rsidR="00210011">
        <w:t xml:space="preserve"> </w:t>
      </w:r>
      <w:r>
        <w:t xml:space="preserve">In </w:t>
      </w:r>
      <w:r w:rsidR="00210011" w:rsidRPr="00210011">
        <w:rPr>
          <w:u w:val="single"/>
        </w:rPr>
        <w:t>Bella</w:t>
      </w:r>
      <w:r>
        <w:t>, the trial judge relied</w:t>
      </w:r>
      <w:r w:rsidR="007365E9">
        <w:t>, among other things,</w:t>
      </w:r>
      <w:r>
        <w:t xml:space="preserve"> on hearsay </w:t>
      </w:r>
      <w:r w:rsidR="00210011">
        <w:t>statements</w:t>
      </w:r>
      <w:r>
        <w:t xml:space="preserve"> in </w:t>
      </w:r>
      <w:r w:rsidR="00323235">
        <w:t>a</w:t>
      </w:r>
      <w:r>
        <w:t xml:space="preserve"> </w:t>
      </w:r>
      <w:r w:rsidR="00210011">
        <w:t xml:space="preserve">§ </w:t>
      </w:r>
      <w:r>
        <w:t xml:space="preserve">51B report to support her conclusion that </w:t>
      </w:r>
      <w:r w:rsidR="00AF6C18">
        <w:t xml:space="preserve">the </w:t>
      </w:r>
      <w:r>
        <w:t xml:space="preserve">mother was unfit.  </w:t>
      </w:r>
      <w:r w:rsidR="00323235">
        <w:t xml:space="preserve">In one finding, </w:t>
      </w:r>
      <w:r w:rsidR="00210011">
        <w:t>quoted</w:t>
      </w:r>
      <w:r w:rsidR="00323235">
        <w:t xml:space="preserve"> directly from a </w:t>
      </w:r>
      <w:r w:rsidR="00210011">
        <w:t xml:space="preserve">§ </w:t>
      </w:r>
      <w:r w:rsidR="00323235">
        <w:t>51B report, the hearsay declarant is identified as “staff from MGH and Spaulding Rehabilitation”</w:t>
      </w:r>
      <w:r w:rsidR="00210011">
        <w:t>; no one is named.</w:t>
      </w:r>
      <w:r w:rsidR="00323235">
        <w:t xml:space="preserve">  </w:t>
      </w:r>
      <w:r w:rsidR="007365E9">
        <w:t xml:space="preserve">As in </w:t>
      </w:r>
      <w:r w:rsidR="007365E9" w:rsidRPr="00210011">
        <w:rPr>
          <w:u w:val="single"/>
        </w:rPr>
        <w:t>Addison</w:t>
      </w:r>
      <w:r w:rsidR="007365E9">
        <w:t xml:space="preserve">, above, the panel relies on </w:t>
      </w:r>
      <w:r w:rsidR="007365E9" w:rsidRPr="00210011">
        <w:rPr>
          <w:u w:val="single"/>
        </w:rPr>
        <w:t>Care and Protection of Bruce</w:t>
      </w:r>
      <w:r w:rsidR="007365E9">
        <w:t xml:space="preserve"> for the proposition that hearsay in </w:t>
      </w:r>
      <w:r w:rsidR="00210011">
        <w:t xml:space="preserve">§ </w:t>
      </w:r>
      <w:r w:rsidR="007365E9">
        <w:t xml:space="preserve">51Bs is admissible.  </w:t>
      </w:r>
      <w:r w:rsidR="00210011">
        <w:t>But, a</w:t>
      </w:r>
      <w:r w:rsidR="007365E9">
        <w:t xml:space="preserve">s noted above, </w:t>
      </w:r>
      <w:r w:rsidR="007365E9" w:rsidRPr="00210011">
        <w:rPr>
          <w:u w:val="single"/>
        </w:rPr>
        <w:t>Bruce</w:t>
      </w:r>
      <w:r w:rsidR="007365E9">
        <w:t xml:space="preserve"> does not support that proposition.  Worse, in this context, the hearsay should not have been permitted </w:t>
      </w:r>
      <w:r w:rsidR="00210011">
        <w:t xml:space="preserve">even </w:t>
      </w:r>
      <w:r w:rsidR="007365E9">
        <w:t>in a court investigator report.  H</w:t>
      </w:r>
      <w:r w:rsidR="00323235">
        <w:t xml:space="preserve">undreds of staff work at </w:t>
      </w:r>
      <w:r w:rsidR="007365E9">
        <w:t>MGH and Spaulding.  It is</w:t>
      </w:r>
      <w:r w:rsidR="00323235">
        <w:t xml:space="preserve"> </w:t>
      </w:r>
      <w:r w:rsidR="00210011">
        <w:t>difficult</w:t>
      </w:r>
      <w:r w:rsidR="00323235">
        <w:t xml:space="preserve"> to understand how this satisfies the requirement </w:t>
      </w:r>
      <w:r w:rsidR="00210011">
        <w:t xml:space="preserve">– a requirement that only applies to court investigator reports, not § 51B reports – that </w:t>
      </w:r>
      <w:r w:rsidR="00323235">
        <w:t>the hearsay declarant be identified</w:t>
      </w:r>
      <w:r w:rsidR="00AF6C18">
        <w:t xml:space="preserve"> or identifiable</w:t>
      </w:r>
      <w:r w:rsidR="00323235">
        <w:t xml:space="preserve">.  </w:t>
      </w:r>
      <w:r w:rsidR="00AF6C18">
        <w:t xml:space="preserve">Nevertheless, the </w:t>
      </w:r>
      <w:r w:rsidR="007365E9">
        <w:t>panel found this</w:t>
      </w:r>
      <w:r w:rsidR="00AF6C18">
        <w:t xml:space="preserve"> sufficient.</w:t>
      </w:r>
      <w:r w:rsidR="007365E9">
        <w:t xml:space="preserve">  </w:t>
      </w:r>
    </w:p>
    <w:p w:rsidR="00A650B4" w:rsidRDefault="00A650B4" w:rsidP="00AF6C18"/>
    <w:p w:rsidR="00410679" w:rsidRDefault="000F0EAD" w:rsidP="008B4BAC">
      <w:pPr>
        <w:pStyle w:val="ListParagraph"/>
        <w:numPr>
          <w:ilvl w:val="0"/>
          <w:numId w:val="27"/>
        </w:numPr>
        <w:snapToGrid w:val="0"/>
        <w:ind w:left="0" w:firstLine="0"/>
      </w:pPr>
      <w:r>
        <w:rPr>
          <w:u w:val="single"/>
        </w:rPr>
        <w:t>Custody of Catherine</w:t>
      </w:r>
      <w:r>
        <w:t xml:space="preserve">, 86 Mass. App. Ct. 1124, No. 14-P-61 (December 11, 2014).  </w:t>
      </w:r>
      <w:r w:rsidR="00410679">
        <w:t>After trial, the judge gave permanent custody of two children to the mother, found the father unfit, but did not terminate his rights.  Three months later, after the father was arrested and charged with parental kidnapping, DCF moved fo</w:t>
      </w:r>
      <w:r w:rsidR="008B4BAC">
        <w:t>r reconsideration</w:t>
      </w:r>
      <w:r>
        <w:t xml:space="preserve"> under Mass.</w:t>
      </w:r>
      <w:r w:rsidR="00410679">
        <w:t xml:space="preserve"> </w:t>
      </w:r>
      <w:r>
        <w:t>R.</w:t>
      </w:r>
      <w:r w:rsidR="00410679">
        <w:t xml:space="preserve"> </w:t>
      </w:r>
      <w:r>
        <w:t>Civ.</w:t>
      </w:r>
      <w:r w:rsidR="00410679">
        <w:t xml:space="preserve"> </w:t>
      </w:r>
      <w:r>
        <w:t xml:space="preserve">P. 60(b)(2) </w:t>
      </w:r>
      <w:r w:rsidR="00410679">
        <w:t>based on</w:t>
      </w:r>
      <w:r>
        <w:t xml:space="preserve"> newly discovered evid</w:t>
      </w:r>
      <w:r w:rsidR="00132EA7">
        <w:t>ence</w:t>
      </w:r>
      <w:r>
        <w:t xml:space="preserve">.  </w:t>
      </w:r>
      <w:r w:rsidR="00410679">
        <w:t>The trial court scheduled a hearing for three months after that (for a total of six months after the initial custody order), and terminated the father’s rights.</w:t>
      </w:r>
    </w:p>
    <w:p w:rsidR="00410679" w:rsidRDefault="00410679" w:rsidP="00410679">
      <w:pPr>
        <w:pStyle w:val="ListParagraph"/>
      </w:pPr>
    </w:p>
    <w:p w:rsidR="00A769C5" w:rsidRDefault="000F0EAD" w:rsidP="00410679">
      <w:pPr>
        <w:pStyle w:val="ListParagraph"/>
        <w:snapToGrid w:val="0"/>
        <w:ind w:left="0"/>
      </w:pPr>
      <w:r>
        <w:t xml:space="preserve">The father argued that DCF was required to </w:t>
      </w:r>
      <w:r w:rsidR="00410679">
        <w:t xml:space="preserve">wait six months after the initial custody order and </w:t>
      </w:r>
      <w:r>
        <w:t xml:space="preserve">petition for review and redetermination under </w:t>
      </w:r>
      <w:r w:rsidR="00A769C5">
        <w:t xml:space="preserve">G.L. </w:t>
      </w:r>
      <w:r>
        <w:t xml:space="preserve">c. 119, </w:t>
      </w:r>
      <w:r w:rsidR="00410679">
        <w:t>§</w:t>
      </w:r>
      <w:r>
        <w:t xml:space="preserve"> 26(c</w:t>
      </w:r>
      <w:r w:rsidR="00410679">
        <w:t>)</w:t>
      </w:r>
      <w:r>
        <w:t xml:space="preserve">. </w:t>
      </w:r>
      <w:r w:rsidR="00410679">
        <w:t xml:space="preserve"> </w:t>
      </w:r>
      <w:r w:rsidR="008B4BAC">
        <w:t>The panel disagreed</w:t>
      </w:r>
      <w:r w:rsidR="00A769C5">
        <w:t>,</w:t>
      </w:r>
      <w:r w:rsidR="008B4BAC">
        <w:t xml:space="preserve"> stating, “we do not read the six-month repose period for care and protection proceedings to apply to termination proceedings.”  </w:t>
      </w:r>
      <w:r w:rsidR="00A769C5">
        <w:t>It is unclear what this statement actually means.  Does it mean that other statutory provisions in chapter 119 don’t apply to termination proceedings?  We are left to guess.</w:t>
      </w:r>
    </w:p>
    <w:p w:rsidR="00A769C5" w:rsidRDefault="00A769C5" w:rsidP="00410679">
      <w:pPr>
        <w:pStyle w:val="ListParagraph"/>
        <w:snapToGrid w:val="0"/>
        <w:ind w:left="0"/>
      </w:pPr>
    </w:p>
    <w:p w:rsidR="00A769C5" w:rsidRDefault="008B4BAC" w:rsidP="00410679">
      <w:pPr>
        <w:pStyle w:val="ListParagraph"/>
        <w:snapToGrid w:val="0"/>
        <w:ind w:left="0"/>
      </w:pPr>
      <w:r>
        <w:t xml:space="preserve">The panel went on to state that “although the text of the rule does not refer to motions for </w:t>
      </w:r>
      <w:r>
        <w:lastRenderedPageBreak/>
        <w:t>reconsideration or to reopen the evidence, the department’s motions, in substance, were properly considered under rule 60(b)(2).”</w:t>
      </w:r>
      <w:r w:rsidR="00410679">
        <w:t xml:space="preserve">  That is, no matter what a post-trial motion is titled, it is really a Rule 60(b) motion and should be construed as such.</w:t>
      </w:r>
      <w:r w:rsidR="00A769C5">
        <w:t xml:space="preserve">  This makes sense; it is almost impossible for any of the parties to file timely post-trial motions under Rules 52 or 59.  Only the one-year deadline in 60(b) is practicable.</w:t>
      </w:r>
    </w:p>
    <w:p w:rsidR="00A769C5" w:rsidRDefault="00A769C5" w:rsidP="00410679">
      <w:pPr>
        <w:pStyle w:val="ListParagraph"/>
        <w:snapToGrid w:val="0"/>
        <w:ind w:left="0"/>
      </w:pPr>
    </w:p>
    <w:p w:rsidR="008B4BAC" w:rsidRDefault="00A769C5" w:rsidP="00410679">
      <w:pPr>
        <w:pStyle w:val="ListParagraph"/>
        <w:snapToGrid w:val="0"/>
        <w:ind w:left="0"/>
      </w:pPr>
      <w:r>
        <w:t>In a footnote, the panel noted that, even if it were error for the trial court to reopen the evidence (or grant relief from judgment), the error was harmless, because the hearing took place six months after the initial custody order.  That would have satisfied G.L. c. 119, § 26(b).</w:t>
      </w:r>
    </w:p>
    <w:p w:rsidR="008B4BAC" w:rsidRDefault="008B4BAC" w:rsidP="008B4BAC">
      <w:pPr>
        <w:snapToGrid w:val="0"/>
      </w:pPr>
    </w:p>
    <w:p w:rsidR="00893D55" w:rsidRDefault="00893D55" w:rsidP="00A71F73">
      <w:pPr>
        <w:pStyle w:val="ListParagraph"/>
        <w:tabs>
          <w:tab w:val="left" w:pos="720"/>
        </w:tabs>
        <w:ind w:left="0"/>
        <w:rPr>
          <w:b/>
          <w:bCs/>
          <w:color w:val="000000"/>
          <w:u w:val="single"/>
        </w:rPr>
      </w:pPr>
      <w:r>
        <w:rPr>
          <w:b/>
          <w:bCs/>
          <w:color w:val="000000"/>
          <w:u w:val="single"/>
        </w:rPr>
        <w:t>Writing Tips</w:t>
      </w:r>
    </w:p>
    <w:p w:rsidR="008F3B04" w:rsidRDefault="008F3B04" w:rsidP="00A71F73">
      <w:pPr>
        <w:pStyle w:val="ListParagraph"/>
        <w:tabs>
          <w:tab w:val="left" w:pos="720"/>
        </w:tabs>
        <w:ind w:left="0"/>
        <w:rPr>
          <w:b/>
          <w:bCs/>
          <w:color w:val="000000"/>
          <w:u w:val="single"/>
        </w:rPr>
      </w:pPr>
    </w:p>
    <w:p w:rsidR="00907CC3" w:rsidRPr="00907CC3" w:rsidRDefault="00907CC3" w:rsidP="00907CC3">
      <w:pPr>
        <w:pStyle w:val="ListParagraph"/>
        <w:numPr>
          <w:ilvl w:val="0"/>
          <w:numId w:val="44"/>
        </w:numPr>
        <w:ind w:left="720"/>
        <w:rPr>
          <w:b/>
          <w:bCs/>
          <w:color w:val="000000"/>
        </w:rPr>
      </w:pPr>
      <w:r w:rsidRPr="00907CC3">
        <w:rPr>
          <w:b/>
          <w:bCs/>
          <w:color w:val="000000"/>
        </w:rPr>
        <w:t>Adverbs – Yech!</w:t>
      </w:r>
    </w:p>
    <w:p w:rsidR="00907CC3" w:rsidRDefault="00907CC3" w:rsidP="00907CC3">
      <w:pPr>
        <w:pStyle w:val="ListParagraph"/>
        <w:tabs>
          <w:tab w:val="left" w:pos="720"/>
        </w:tabs>
        <w:ind w:left="1080"/>
        <w:rPr>
          <w:bCs/>
          <w:color w:val="000000"/>
        </w:rPr>
      </w:pPr>
    </w:p>
    <w:p w:rsidR="008F3B04" w:rsidRPr="008F3B04" w:rsidRDefault="008F3B04" w:rsidP="003A6109">
      <w:pPr>
        <w:pStyle w:val="ListParagraph"/>
        <w:ind w:left="0"/>
        <w:rPr>
          <w:bCs/>
          <w:color w:val="000000"/>
        </w:rPr>
      </w:pPr>
      <w:r>
        <w:rPr>
          <w:bCs/>
          <w:color w:val="000000"/>
        </w:rPr>
        <w:t>Here is a great writing tip from Debra Cassens Weiss, posted on October 8, 2014 on the ABA Journal website.</w:t>
      </w:r>
    </w:p>
    <w:p w:rsidR="008F3B04" w:rsidRPr="008F3B04" w:rsidRDefault="008F3B04" w:rsidP="008F3B04">
      <w:pPr>
        <w:pStyle w:val="Heading1"/>
        <w:ind w:left="720"/>
        <w:rPr>
          <w:color w:val="1F497D" w:themeColor="text2"/>
          <w:sz w:val="24"/>
          <w:szCs w:val="24"/>
        </w:rPr>
      </w:pPr>
      <w:r w:rsidRPr="008F3B04">
        <w:rPr>
          <w:color w:val="1F497D" w:themeColor="text2"/>
          <w:sz w:val="24"/>
          <w:szCs w:val="24"/>
        </w:rPr>
        <w:t>Using adverbs recklessly can hurt your appeal and vex the courts</w:t>
      </w:r>
    </w:p>
    <w:p w:rsidR="008F3B04" w:rsidRPr="008F3B04" w:rsidRDefault="008F3B04" w:rsidP="008F3B04">
      <w:pPr>
        <w:pStyle w:val="byline"/>
        <w:ind w:left="720"/>
        <w:rPr>
          <w:color w:val="1F497D" w:themeColor="text2"/>
        </w:rPr>
      </w:pPr>
      <w:r w:rsidRPr="008F3B04">
        <w:rPr>
          <w:color w:val="1F497D" w:themeColor="text2"/>
        </w:rPr>
        <w:t xml:space="preserve">By </w:t>
      </w:r>
      <w:hyperlink r:id="rId18" w:tooltip="View this author's information" w:history="1">
        <w:r w:rsidRPr="008F3B04">
          <w:rPr>
            <w:rStyle w:val="Hyperlink"/>
            <w:color w:val="1F497D" w:themeColor="text2"/>
            <w:u w:val="none"/>
          </w:rPr>
          <w:t>Debra Cassens Weiss</w:t>
        </w:r>
      </w:hyperlink>
    </w:p>
    <w:p w:rsidR="008F3B04" w:rsidRPr="008F3B04" w:rsidRDefault="008F3B04" w:rsidP="008F3B04">
      <w:pPr>
        <w:pStyle w:val="NormalWeb"/>
        <w:ind w:left="720"/>
        <w:rPr>
          <w:color w:val="1F497D" w:themeColor="text2"/>
        </w:rPr>
      </w:pPr>
      <w:r w:rsidRPr="008F3B04">
        <w:rPr>
          <w:color w:val="1F497D" w:themeColor="text2"/>
        </w:rPr>
        <w:t>Adverbs can be a boon and a bane to lawyers who argue over the meaning of words such as “knowingly,” “intentionally” and “recklessly” and sprinkle them throughout their briefs.</w:t>
      </w:r>
    </w:p>
    <w:p w:rsidR="008F3B04" w:rsidRPr="008F3B04" w:rsidRDefault="008F3B04" w:rsidP="008F3B04">
      <w:pPr>
        <w:pStyle w:val="NormalWeb"/>
        <w:ind w:left="720"/>
        <w:rPr>
          <w:color w:val="1F497D" w:themeColor="text2"/>
        </w:rPr>
      </w:pPr>
      <w:r w:rsidRPr="008F3B04">
        <w:rPr>
          <w:color w:val="1F497D" w:themeColor="text2"/>
        </w:rPr>
        <w:t xml:space="preserve">Indeed, the number of disputes over how to interpret adverbs in criminal statutes has surged since the 1980s, the </w:t>
      </w:r>
      <w:hyperlink r:id="rId19" w:history="1">
        <w:r w:rsidRPr="008F3B04">
          <w:rPr>
            <w:rStyle w:val="Hyperlink"/>
            <w:color w:val="1F497D" w:themeColor="text2"/>
            <w:u w:val="none"/>
          </w:rPr>
          <w:t>Wall Street Journal</w:t>
        </w:r>
      </w:hyperlink>
      <w:r w:rsidRPr="008F3B04">
        <w:rPr>
          <w:color w:val="1F497D" w:themeColor="text2"/>
        </w:rPr>
        <w:t xml:space="preserve"> (sub. req.) reports, citing research by Brooklyn Law School professor Lawrence Solan. But losing an argument over statutory construction isn’t the only downside to adverbs.</w:t>
      </w:r>
    </w:p>
    <w:p w:rsidR="008F3B04" w:rsidRPr="008F3B04" w:rsidRDefault="008F3B04" w:rsidP="008F3B04">
      <w:pPr>
        <w:pStyle w:val="NormalWeb"/>
        <w:ind w:left="720"/>
        <w:rPr>
          <w:color w:val="1F497D" w:themeColor="text2"/>
        </w:rPr>
      </w:pPr>
      <w:r w:rsidRPr="008F3B04">
        <w:rPr>
          <w:color w:val="1F497D" w:themeColor="text2"/>
        </w:rPr>
        <w:t>A 2008 study found that lawyers who use intensifier adverbs in their briefs such as “very,” “obviously,” “clearly,” “absolutely” and “really” are more likely to lose an appeal than lawyers who avoid the words, the story says. There is one exception, though–the adverbs are likely to help the lawyer if the judge likes to use the words, too.</w:t>
      </w:r>
    </w:p>
    <w:p w:rsidR="008F3B04" w:rsidRPr="008F3B04" w:rsidRDefault="008F3B04" w:rsidP="008F3B04">
      <w:pPr>
        <w:pStyle w:val="NormalWeb"/>
        <w:ind w:left="720"/>
        <w:rPr>
          <w:color w:val="1F497D" w:themeColor="text2"/>
        </w:rPr>
      </w:pPr>
      <w:r w:rsidRPr="008F3B04">
        <w:rPr>
          <w:color w:val="1F497D" w:themeColor="text2"/>
        </w:rPr>
        <w:t>Justice Anthony M. Kennedy has said he doesn’t like to use adverbs in his writing. But Justice Antonin Scalia apparently has no such compunction. He uses phrases such as “blatantly misdescribes,” “most tragically” and “judicially brainstormed,” leading one legal linguist to complain about his “caustic exploitation” of adverbs.</w:t>
      </w:r>
    </w:p>
    <w:p w:rsidR="00B42AD5" w:rsidRDefault="008F3B04" w:rsidP="008F3B04">
      <w:pPr>
        <w:pStyle w:val="ListParagraph"/>
        <w:ind w:left="0" w:right="720"/>
        <w:rPr>
          <w:szCs w:val="24"/>
        </w:rPr>
      </w:pPr>
      <w:r>
        <w:rPr>
          <w:szCs w:val="24"/>
        </w:rPr>
        <w:t>As we know, little is “clear,” “obvious,” or “absolute” in our cases.  It makes sense to purge the adverbial forms of these words from our briefs.</w:t>
      </w:r>
      <w:r w:rsidR="00B64B4E">
        <w:rPr>
          <w:szCs w:val="24"/>
        </w:rPr>
        <w:t xml:space="preserve">  </w:t>
      </w:r>
    </w:p>
    <w:p w:rsidR="00F72BD3" w:rsidRDefault="00F72BD3" w:rsidP="008F3B04">
      <w:pPr>
        <w:pStyle w:val="ListParagraph"/>
        <w:ind w:left="0" w:right="720"/>
        <w:rPr>
          <w:szCs w:val="24"/>
        </w:rPr>
      </w:pPr>
    </w:p>
    <w:p w:rsidR="00907CC3" w:rsidRDefault="00907CC3" w:rsidP="008F3B04">
      <w:pPr>
        <w:pStyle w:val="ListParagraph"/>
        <w:ind w:left="0" w:right="720"/>
        <w:rPr>
          <w:szCs w:val="24"/>
        </w:rPr>
      </w:pPr>
    </w:p>
    <w:p w:rsidR="00EA1BB5" w:rsidRDefault="00EA1BB5" w:rsidP="008F3B04">
      <w:pPr>
        <w:pStyle w:val="ListParagraph"/>
        <w:ind w:left="0" w:right="720"/>
        <w:rPr>
          <w:szCs w:val="24"/>
        </w:rPr>
      </w:pPr>
    </w:p>
    <w:p w:rsidR="00610741" w:rsidRDefault="00610741" w:rsidP="008F3B04">
      <w:pPr>
        <w:pStyle w:val="ListParagraph"/>
        <w:ind w:left="0" w:right="720"/>
        <w:rPr>
          <w:szCs w:val="24"/>
        </w:rPr>
      </w:pPr>
    </w:p>
    <w:p w:rsidR="00907CC3" w:rsidRPr="00907CC3" w:rsidRDefault="00907CC3" w:rsidP="00907CC3">
      <w:pPr>
        <w:pStyle w:val="ListParagraph"/>
        <w:numPr>
          <w:ilvl w:val="0"/>
          <w:numId w:val="44"/>
        </w:numPr>
        <w:ind w:left="720" w:right="720"/>
        <w:rPr>
          <w:b/>
          <w:szCs w:val="24"/>
        </w:rPr>
      </w:pPr>
      <w:r w:rsidRPr="00907CC3">
        <w:rPr>
          <w:b/>
          <w:szCs w:val="24"/>
        </w:rPr>
        <w:lastRenderedPageBreak/>
        <w:t>Primacy and Recency</w:t>
      </w:r>
    </w:p>
    <w:p w:rsidR="00907CC3" w:rsidRDefault="00907CC3" w:rsidP="00907CC3">
      <w:pPr>
        <w:pStyle w:val="ListParagraph"/>
        <w:ind w:left="1080" w:right="720"/>
        <w:rPr>
          <w:szCs w:val="24"/>
        </w:rPr>
      </w:pPr>
    </w:p>
    <w:p w:rsidR="00907CC3" w:rsidRDefault="00907CC3" w:rsidP="003A6109">
      <w:r>
        <w:t xml:space="preserve">Facts sections should tell engaging stories.  Purely chronological stories are boring.  Like a novel, your story can start in the middle or even at the climax.  So long as you are faithful to the record and follow the rules for factual citation, you can create drama however you wish.  Don’t kill the drama by starting your story the same way the trial judge likely started his or her findings of fact – with the birth of the child, or even the birth of the parents – unless that “birth” is itself a dramatic moment.  And never tell your story witness-by-witness.  That is dry and repetitive, and it forces the appellate judges to create </w:t>
      </w:r>
      <w:r w:rsidR="00F72BD3">
        <w:t>their</w:t>
      </w:r>
      <w:r>
        <w:t xml:space="preserve"> own story from the evidentiary puzzle pieces.</w:t>
      </w:r>
    </w:p>
    <w:p w:rsidR="00EA1BB5" w:rsidRDefault="00EA1BB5" w:rsidP="00033908">
      <w:pPr>
        <w:ind w:firstLine="720"/>
      </w:pPr>
    </w:p>
    <w:p w:rsidR="00EA1BB5" w:rsidRDefault="00907CC3" w:rsidP="003A6109">
      <w:r>
        <w:t xml:space="preserve">In putting together </w:t>
      </w:r>
      <w:r w:rsidRPr="009A7DBA">
        <w:rPr>
          <w:i/>
        </w:rPr>
        <w:t>your</w:t>
      </w:r>
      <w:r>
        <w:t xml:space="preserve"> story, remember the principles of primacy and recency:  readers tend to remember the first and last things they read and forget what’s buried in the middle.  So start and end your story with something memorable.  Put the bad parts – and there are always bad parts; after all, your </w:t>
      </w:r>
      <w:r w:rsidR="00E24331">
        <w:t>appellant-</w:t>
      </w:r>
      <w:r>
        <w:t>client has lost at trial – in the middle.  For example, your story might begin with your client’s successful completion of substance abuse counseling, a crowning achievement after years of drug abuse.  Your client goes through a graduation ceremony and gets a certificate.  The head of the program writes her a glowing evaluation about her progress and prospects for the future.  Your story might end with a discussion of all the other services your client completed before trial.  In the middle of the story, you might address the many relapses and petty crimes your client perpetrated while battling her demons.  That placement de-emphasizes the negative information.  Why start your story with all of your client’s problems?</w:t>
      </w:r>
    </w:p>
    <w:p w:rsidR="00907CC3" w:rsidRDefault="00907CC3" w:rsidP="003A6109">
      <w:r>
        <w:t xml:space="preserve"> </w:t>
      </w:r>
    </w:p>
    <w:p w:rsidR="00907CC3" w:rsidRDefault="00907CC3" w:rsidP="003A6109">
      <w:r>
        <w:t>The principles of p</w:t>
      </w:r>
      <w:r w:rsidRPr="00894804">
        <w:t>rimacy and recency</w:t>
      </w:r>
      <w:r>
        <w:t xml:space="preserve"> a</w:t>
      </w:r>
      <w:r w:rsidR="00E24331">
        <w:t>pply as well on the micro level.  That is,</w:t>
      </w:r>
      <w:r>
        <w:t xml:space="preserve"> w</w:t>
      </w:r>
      <w:r w:rsidRPr="00894804">
        <w:t xml:space="preserve">e remember the first and last things we read in a paragraph.  We tend to forget what’s in the middle.  </w:t>
      </w:r>
      <w:r w:rsidR="00E24331">
        <w:t>While y</w:t>
      </w:r>
      <w:r>
        <w:t>ou have to disclose and address bad facts, you can “bury”</w:t>
      </w:r>
      <w:r w:rsidRPr="00894804">
        <w:t xml:space="preserve"> the bad stuff</w:t>
      </w:r>
      <w:r>
        <w:t xml:space="preserve"> in the middle of a paragraph </w:t>
      </w:r>
      <w:r w:rsidRPr="00894804">
        <w:t>where it’s harder to see and easier to forget.</w:t>
      </w:r>
      <w:r>
        <w:t xml:space="preserve">  </w:t>
      </w:r>
    </w:p>
    <w:p w:rsidR="00EA1BB5" w:rsidRDefault="00EA1BB5" w:rsidP="003A6109"/>
    <w:p w:rsidR="00907CC3" w:rsidRDefault="00907CC3" w:rsidP="003A6109">
      <w:r>
        <w:t xml:space="preserve">The link below </w:t>
      </w:r>
      <w:r w:rsidR="00033908">
        <w:t>contains an interesting analysis of the primacy/recency effect in the cont</w:t>
      </w:r>
      <w:r w:rsidR="00F72BD3">
        <w:t>ext of teaching a lesson (which is,</w:t>
      </w:r>
      <w:r w:rsidR="00033908">
        <w:t xml:space="preserve"> in many ways, </w:t>
      </w:r>
      <w:r w:rsidR="00F72BD3">
        <w:t>what</w:t>
      </w:r>
      <w:r w:rsidR="00E24331">
        <w:t xml:space="preserve"> </w:t>
      </w:r>
      <w:r w:rsidR="00033908">
        <w:t>we are doing in a brief):</w:t>
      </w:r>
    </w:p>
    <w:p w:rsidR="00033908" w:rsidRDefault="00033908" w:rsidP="00033908">
      <w:pPr>
        <w:ind w:firstLine="720"/>
      </w:pPr>
    </w:p>
    <w:p w:rsidR="00B40C29" w:rsidRPr="00B40C29" w:rsidRDefault="00350843" w:rsidP="00DE2FC0">
      <w:pPr>
        <w:pStyle w:val="ListParagraph"/>
        <w:tabs>
          <w:tab w:val="left" w:pos="720"/>
        </w:tabs>
        <w:ind w:right="720" w:hanging="720"/>
        <w:rPr>
          <w:szCs w:val="24"/>
        </w:rPr>
      </w:pPr>
      <w:hyperlink r:id="rId20" w:history="1">
        <w:r w:rsidR="00F72BD3" w:rsidRPr="006A679C">
          <w:rPr>
            <w:rStyle w:val="Hyperlink"/>
            <w:szCs w:val="24"/>
          </w:rPr>
          <w:t>https://www.lancsngfl.ac.uk/secondary/math/download/file/How%20the%20Brain%20Learns%20by%20David%20Sousa.pdf</w:t>
        </w:r>
      </w:hyperlink>
      <w:r w:rsidR="00B40C29">
        <w:rPr>
          <w:szCs w:val="24"/>
        </w:rPr>
        <w:t xml:space="preserve"> </w:t>
      </w:r>
    </w:p>
    <w:p w:rsidR="00B40C29" w:rsidRDefault="00B40C29" w:rsidP="00DE2FC0">
      <w:pPr>
        <w:pStyle w:val="ListParagraph"/>
        <w:tabs>
          <w:tab w:val="left" w:pos="720"/>
        </w:tabs>
        <w:ind w:right="720" w:hanging="720"/>
        <w:rPr>
          <w:b/>
          <w:szCs w:val="24"/>
          <w:u w:val="single"/>
        </w:rPr>
      </w:pPr>
    </w:p>
    <w:p w:rsidR="00033908" w:rsidRDefault="00033908" w:rsidP="00DE2FC0">
      <w:pPr>
        <w:pStyle w:val="ListParagraph"/>
        <w:tabs>
          <w:tab w:val="left" w:pos="720"/>
        </w:tabs>
        <w:ind w:right="720" w:hanging="720"/>
        <w:rPr>
          <w:b/>
          <w:szCs w:val="24"/>
          <w:u w:val="single"/>
        </w:rPr>
      </w:pPr>
    </w:p>
    <w:p w:rsidR="00DE2FC0" w:rsidRPr="00DE2FC0" w:rsidRDefault="00DE2FC0" w:rsidP="00DE2FC0">
      <w:pPr>
        <w:pStyle w:val="ListParagraph"/>
        <w:tabs>
          <w:tab w:val="left" w:pos="720"/>
        </w:tabs>
        <w:ind w:right="720" w:hanging="720"/>
        <w:rPr>
          <w:b/>
          <w:szCs w:val="24"/>
          <w:u w:val="single"/>
        </w:rPr>
      </w:pPr>
      <w:r w:rsidRPr="00DE2FC0">
        <w:rPr>
          <w:b/>
          <w:szCs w:val="24"/>
          <w:u w:val="single"/>
        </w:rPr>
        <w:t>Practice Tips</w:t>
      </w:r>
    </w:p>
    <w:p w:rsidR="00737EAE" w:rsidRDefault="00EF2CEF" w:rsidP="00737EAE">
      <w:pPr>
        <w:pStyle w:val="Heading1"/>
        <w:numPr>
          <w:ilvl w:val="0"/>
          <w:numId w:val="40"/>
        </w:numPr>
        <w:ind w:hanging="720"/>
        <w:rPr>
          <w:sz w:val="24"/>
          <w:szCs w:val="24"/>
          <w:lang w:val="en-US"/>
        </w:rPr>
      </w:pPr>
      <w:r>
        <w:rPr>
          <w:sz w:val="24"/>
          <w:szCs w:val="24"/>
          <w:lang w:val="en-US"/>
        </w:rPr>
        <w:t>Brief Formatting, Length, Etc.</w:t>
      </w:r>
    </w:p>
    <w:p w:rsidR="00C71DFC" w:rsidRPr="00C71DFC" w:rsidRDefault="008F3B04" w:rsidP="008F3B04">
      <w:pPr>
        <w:pStyle w:val="Heading1"/>
        <w:rPr>
          <w:b w:val="0"/>
          <w:sz w:val="24"/>
          <w:szCs w:val="24"/>
          <w:lang w:val="en-US"/>
        </w:rPr>
      </w:pPr>
      <w:r>
        <w:rPr>
          <w:b w:val="0"/>
          <w:sz w:val="24"/>
          <w:szCs w:val="24"/>
          <w:lang w:val="en-US"/>
        </w:rPr>
        <w:t>Here is another great article from Debra Cassens Weiss.  This one is f</w:t>
      </w:r>
      <w:r w:rsidR="00C71DFC" w:rsidRPr="00C71DFC">
        <w:rPr>
          <w:b w:val="0"/>
          <w:sz w:val="24"/>
          <w:szCs w:val="24"/>
          <w:lang w:val="en-US"/>
        </w:rPr>
        <w:t>rom the September 18, 2014</w:t>
      </w:r>
      <w:r w:rsidR="00C71DFC">
        <w:rPr>
          <w:b w:val="0"/>
          <w:sz w:val="24"/>
          <w:szCs w:val="24"/>
          <w:lang w:val="en-US"/>
        </w:rPr>
        <w:t xml:space="preserve"> ABA Journal newsletter:</w:t>
      </w:r>
    </w:p>
    <w:p w:rsidR="00EF2CEF" w:rsidRPr="00C71DFC" w:rsidRDefault="00EF2CEF" w:rsidP="00C71DFC">
      <w:pPr>
        <w:pStyle w:val="Heading1"/>
        <w:ind w:left="720"/>
        <w:rPr>
          <w:color w:val="1F497D" w:themeColor="text2"/>
          <w:sz w:val="24"/>
          <w:szCs w:val="24"/>
        </w:rPr>
      </w:pPr>
      <w:r w:rsidRPr="00C71DFC">
        <w:rPr>
          <w:color w:val="1F497D" w:themeColor="text2"/>
          <w:sz w:val="24"/>
          <w:szCs w:val="24"/>
        </w:rPr>
        <w:t>Judge scolds BP for squeezing extra lines into brief</w:t>
      </w:r>
    </w:p>
    <w:p w:rsidR="008F3B04" w:rsidRPr="008F3B04" w:rsidRDefault="008F3B04" w:rsidP="008F3B04">
      <w:pPr>
        <w:pStyle w:val="Heading1"/>
        <w:ind w:left="720"/>
        <w:rPr>
          <w:b w:val="0"/>
          <w:color w:val="1F497D" w:themeColor="text2"/>
          <w:sz w:val="24"/>
          <w:szCs w:val="24"/>
          <w:lang w:val="en-US"/>
        </w:rPr>
      </w:pPr>
      <w:r w:rsidRPr="008F3B04">
        <w:rPr>
          <w:b w:val="0"/>
          <w:color w:val="1F497D" w:themeColor="text2"/>
          <w:sz w:val="24"/>
          <w:szCs w:val="24"/>
          <w:lang w:val="en-US"/>
        </w:rPr>
        <w:t>By Debra Cassens Weiss</w:t>
      </w:r>
    </w:p>
    <w:p w:rsidR="00EF2CEF" w:rsidRPr="00C71DFC" w:rsidRDefault="00C71DFC" w:rsidP="00C71DFC">
      <w:pPr>
        <w:pStyle w:val="NormalWeb"/>
        <w:ind w:left="720"/>
        <w:rPr>
          <w:color w:val="1F497D" w:themeColor="text2"/>
        </w:rPr>
      </w:pPr>
      <w:r w:rsidRPr="00C71DFC">
        <w:rPr>
          <w:color w:val="1F497D" w:themeColor="text2"/>
        </w:rPr>
        <w:lastRenderedPageBreak/>
        <w:t>B</w:t>
      </w:r>
      <w:r w:rsidR="00EF2CEF" w:rsidRPr="00C71DFC">
        <w:rPr>
          <w:color w:val="1F497D" w:themeColor="text2"/>
        </w:rPr>
        <w:t>P is on notice that a federal judge will be closely scrutinizing its briefs for excess words in litigation over the Gulf oil spill.</w:t>
      </w:r>
    </w:p>
    <w:p w:rsidR="00EF2CEF" w:rsidRPr="00C71DFC" w:rsidRDefault="00EF2CEF" w:rsidP="00C71DFC">
      <w:pPr>
        <w:pStyle w:val="NormalWeb"/>
        <w:ind w:left="720"/>
        <w:rPr>
          <w:color w:val="1F497D" w:themeColor="text2"/>
        </w:rPr>
      </w:pPr>
      <w:r w:rsidRPr="00C71DFC">
        <w:rPr>
          <w:color w:val="1F497D" w:themeColor="text2"/>
        </w:rPr>
        <w:t xml:space="preserve">In an </w:t>
      </w:r>
      <w:hyperlink r:id="rId21" w:history="1">
        <w:r w:rsidRPr="00C71DFC">
          <w:rPr>
            <w:rStyle w:val="Hyperlink"/>
            <w:color w:val="1F497D" w:themeColor="text2"/>
            <w:u w:val="none"/>
          </w:rPr>
          <w:t>order</w:t>
        </w:r>
      </w:hyperlink>
      <w:r w:rsidRPr="00C71DFC">
        <w:rPr>
          <w:color w:val="1F497D" w:themeColor="text2"/>
        </w:rPr>
        <w:t xml:space="preserve"> (PDF) on Monday, U.S. District Judge Carl Barbier said BP evidently abused a 35-page limit by slightly squeezing the spacing between the lines. The limit was already 10 pages longer than usual, and it called for a double-spaced brief.</w:t>
      </w:r>
    </w:p>
    <w:p w:rsidR="00EF2CEF" w:rsidRPr="00C71DFC" w:rsidRDefault="00EF2CEF" w:rsidP="00C71DFC">
      <w:pPr>
        <w:pStyle w:val="NormalWeb"/>
        <w:ind w:left="720"/>
        <w:rPr>
          <w:color w:val="1F497D" w:themeColor="text2"/>
        </w:rPr>
      </w:pPr>
      <w:r w:rsidRPr="00C71DFC">
        <w:rPr>
          <w:color w:val="1F497D" w:themeColor="text2"/>
        </w:rPr>
        <w:t xml:space="preserve">As a result of the manipulation, Barbier said, BP exceeded the already enlarged page limit by about six pages. </w:t>
      </w:r>
      <w:hyperlink r:id="rId22" w:history="1">
        <w:r w:rsidRPr="00C71DFC">
          <w:rPr>
            <w:rStyle w:val="Hyperlink"/>
            <w:color w:val="1F497D" w:themeColor="text2"/>
            <w:u w:val="none"/>
          </w:rPr>
          <w:t>Slate</w:t>
        </w:r>
      </w:hyperlink>
      <w:r w:rsidRPr="00C71DFC">
        <w:rPr>
          <w:color w:val="1F497D" w:themeColor="text2"/>
        </w:rPr>
        <w:t xml:space="preserve"> and </w:t>
      </w:r>
      <w:hyperlink r:id="rId23" w:history="1">
        <w:r w:rsidRPr="00C71DFC">
          <w:rPr>
            <w:rStyle w:val="Hyperlink"/>
            <w:color w:val="1F497D" w:themeColor="text2"/>
            <w:u w:val="none"/>
          </w:rPr>
          <w:t>NPR</w:t>
        </w:r>
      </w:hyperlink>
      <w:r w:rsidRPr="00C71DFC">
        <w:rPr>
          <w:color w:val="1F497D" w:themeColor="text2"/>
        </w:rPr>
        <w:t xml:space="preserve"> have stories.</w:t>
      </w:r>
    </w:p>
    <w:p w:rsidR="00EF2CEF" w:rsidRPr="00C71DFC" w:rsidRDefault="00EF2CEF" w:rsidP="00C71DFC">
      <w:pPr>
        <w:pStyle w:val="NormalWeb"/>
        <w:ind w:left="720"/>
        <w:rPr>
          <w:color w:val="1F497D" w:themeColor="text2"/>
        </w:rPr>
      </w:pPr>
      <w:r w:rsidRPr="00C71DFC">
        <w:rPr>
          <w:color w:val="1F497D" w:themeColor="text2"/>
        </w:rPr>
        <w:t>“The court should not have to waste its time policing such simple rules—particularly in a case as massive and complex as this,” Barbier wrote. “Counsel are expected to follow the court’s orders both in letter and in spirit. The court should not have to resort to imposing character limits, etc., to ensure compliance. Counsel’s tactic would not be appropriate for a college term paper. It certainly is not appropriate here.</w:t>
      </w:r>
    </w:p>
    <w:p w:rsidR="00EF2CEF" w:rsidRPr="00C71DFC" w:rsidRDefault="00EF2CEF" w:rsidP="00C71DFC">
      <w:pPr>
        <w:pStyle w:val="NormalWeb"/>
        <w:ind w:left="720"/>
        <w:rPr>
          <w:color w:val="1F497D" w:themeColor="text2"/>
        </w:rPr>
      </w:pPr>
      <w:r w:rsidRPr="00C71DFC">
        <w:rPr>
          <w:color w:val="1F497D" w:themeColor="text2"/>
        </w:rPr>
        <w:t>“Any future briefs using similar tactics will be struck.”</w:t>
      </w:r>
    </w:p>
    <w:p w:rsidR="00EF2CEF" w:rsidRPr="00C71DFC" w:rsidRDefault="00EF2CEF" w:rsidP="00C71DFC">
      <w:pPr>
        <w:pStyle w:val="NormalWeb"/>
        <w:ind w:left="720"/>
        <w:rPr>
          <w:color w:val="1F497D" w:themeColor="text2"/>
        </w:rPr>
      </w:pPr>
      <w:r w:rsidRPr="00C71DFC">
        <w:rPr>
          <w:color w:val="1F497D" w:themeColor="text2"/>
        </w:rPr>
        <w:t>BP is represented by several law firms, and Barbier did not identify the firm at fault. He does, however, reference the Pacer number on the offending brief, which was submitted under the electronic signature of Kirkland &amp; Ellis lawyer J. Andrew Langan. A Kirkland &amp; Ellis spokesperson did not immediately respond to a request for comment. Langan said he would refer the ABA Journal’s request for comment to the appropriate person.</w:t>
      </w:r>
    </w:p>
    <w:p w:rsidR="000228B3" w:rsidRDefault="00C71DFC" w:rsidP="00737EAE">
      <w:pPr>
        <w:widowControl/>
        <w:rPr>
          <w:szCs w:val="24"/>
        </w:rPr>
      </w:pPr>
      <w:r>
        <w:rPr>
          <w:szCs w:val="24"/>
        </w:rPr>
        <w:t xml:space="preserve">What’s the take-away from this?  First, cheating on your brief formatting doesn’t pay, even if you’re a partner at Kirkland &amp; Ellis.  Second, even though the Appeals Court Clerk’s Office has </w:t>
      </w:r>
      <w:r w:rsidRPr="00C71DFC">
        <w:rPr>
          <w:i/>
          <w:szCs w:val="24"/>
        </w:rPr>
        <w:t>generally</w:t>
      </w:r>
      <w:r>
        <w:rPr>
          <w:szCs w:val="24"/>
        </w:rPr>
        <w:t xml:space="preserve"> softened its enforcement of certain formatting rules, it has not forgotten the rules.  We still hear about CAFL appellate briefs getting rejected by the Clerk’s Office, which is embarrassing for the appellate counsel.  Even if your non-conforming brief is accepted, clerks and judges do notice problems with fonts, font size</w:t>
      </w:r>
      <w:r w:rsidR="00EA1BB5">
        <w:rPr>
          <w:szCs w:val="24"/>
        </w:rPr>
        <w:t xml:space="preserve">s, margins, </w:t>
      </w:r>
      <w:r>
        <w:rPr>
          <w:szCs w:val="24"/>
        </w:rPr>
        <w:t>and other issues.  Read Rules 16 and 20 carefully.  Don’t let formatting problems lead to the wrong kind of attention from the appellate judges.</w:t>
      </w:r>
    </w:p>
    <w:p w:rsidR="006D7420" w:rsidRDefault="006D7420" w:rsidP="00737EAE">
      <w:pPr>
        <w:widowControl/>
        <w:rPr>
          <w:szCs w:val="24"/>
        </w:rPr>
      </w:pPr>
    </w:p>
    <w:p w:rsidR="00737EAE" w:rsidRDefault="006849E7" w:rsidP="00E25335">
      <w:pPr>
        <w:pStyle w:val="Heading1"/>
        <w:numPr>
          <w:ilvl w:val="0"/>
          <w:numId w:val="40"/>
        </w:numPr>
        <w:ind w:hanging="720"/>
        <w:rPr>
          <w:sz w:val="24"/>
          <w:szCs w:val="24"/>
          <w:lang w:val="en-US"/>
        </w:rPr>
      </w:pPr>
      <w:r>
        <w:rPr>
          <w:sz w:val="24"/>
          <w:szCs w:val="24"/>
          <w:lang w:val="en-US"/>
        </w:rPr>
        <w:t xml:space="preserve">New Appellate </w:t>
      </w:r>
      <w:r w:rsidR="003646A3">
        <w:rPr>
          <w:sz w:val="24"/>
          <w:szCs w:val="24"/>
          <w:lang w:val="en-US"/>
        </w:rPr>
        <w:t>Decisions – Keeping up to Date</w:t>
      </w:r>
    </w:p>
    <w:p w:rsidR="003646A3" w:rsidRDefault="003646A3" w:rsidP="003646A3">
      <w:pPr>
        <w:pStyle w:val="Heading1"/>
        <w:rPr>
          <w:b w:val="0"/>
          <w:sz w:val="24"/>
          <w:szCs w:val="24"/>
          <w:lang w:val="en-US"/>
        </w:rPr>
      </w:pPr>
      <w:r>
        <w:rPr>
          <w:b w:val="0"/>
          <w:sz w:val="24"/>
          <w:szCs w:val="24"/>
          <w:lang w:val="en-US"/>
        </w:rPr>
        <w:t>Each day, the mass.gov website posts</w:t>
      </w:r>
      <w:r w:rsidR="006849E7">
        <w:rPr>
          <w:b w:val="0"/>
          <w:sz w:val="24"/>
          <w:szCs w:val="24"/>
          <w:lang w:val="en-US"/>
        </w:rPr>
        <w:t xml:space="preserve"> new published</w:t>
      </w:r>
      <w:r w:rsidRPr="003646A3">
        <w:rPr>
          <w:b w:val="0"/>
          <w:sz w:val="24"/>
          <w:szCs w:val="24"/>
          <w:lang w:val="en-US"/>
        </w:rPr>
        <w:t xml:space="preserve"> </w:t>
      </w:r>
      <w:r>
        <w:rPr>
          <w:b w:val="0"/>
          <w:sz w:val="24"/>
          <w:szCs w:val="24"/>
          <w:lang w:val="en-US"/>
        </w:rPr>
        <w:t xml:space="preserve">appellate </w:t>
      </w:r>
      <w:r w:rsidRPr="003646A3">
        <w:rPr>
          <w:b w:val="0"/>
          <w:sz w:val="24"/>
          <w:szCs w:val="24"/>
          <w:lang w:val="en-US"/>
        </w:rPr>
        <w:t>decisions</w:t>
      </w:r>
      <w:r w:rsidR="006849E7">
        <w:rPr>
          <w:b w:val="0"/>
          <w:sz w:val="24"/>
          <w:szCs w:val="24"/>
          <w:lang w:val="en-US"/>
        </w:rPr>
        <w:t xml:space="preserve"> and lists of unpublished decisions</w:t>
      </w:r>
      <w:r>
        <w:rPr>
          <w:b w:val="0"/>
          <w:sz w:val="24"/>
          <w:szCs w:val="24"/>
          <w:lang w:val="en-US"/>
        </w:rPr>
        <w:t>.  Go to</w:t>
      </w:r>
      <w:r w:rsidRPr="003646A3">
        <w:rPr>
          <w:b w:val="0"/>
          <w:sz w:val="24"/>
          <w:szCs w:val="24"/>
          <w:lang w:val="en-US"/>
        </w:rPr>
        <w:t xml:space="preserve">: </w:t>
      </w:r>
    </w:p>
    <w:p w:rsidR="003646A3" w:rsidRDefault="00350843" w:rsidP="003646A3">
      <w:pPr>
        <w:pStyle w:val="Heading1"/>
        <w:rPr>
          <w:b w:val="0"/>
          <w:sz w:val="24"/>
          <w:szCs w:val="24"/>
          <w:lang w:val="en-US"/>
        </w:rPr>
      </w:pPr>
      <w:hyperlink r:id="rId24" w:history="1">
        <w:r w:rsidR="003646A3" w:rsidRPr="00C335D0">
          <w:rPr>
            <w:rStyle w:val="Hyperlink"/>
            <w:b w:val="0"/>
            <w:sz w:val="24"/>
            <w:szCs w:val="24"/>
            <w:lang w:val="en-US"/>
          </w:rPr>
          <w:t>http://www.mass.gov/courts/court-info/sjc/about/reporter-of-decisions/new-opinions.html</w:t>
        </w:r>
      </w:hyperlink>
    </w:p>
    <w:p w:rsidR="003646A3" w:rsidRDefault="003646A3" w:rsidP="003646A3">
      <w:pPr>
        <w:pStyle w:val="Heading1"/>
        <w:rPr>
          <w:b w:val="0"/>
          <w:sz w:val="24"/>
          <w:szCs w:val="24"/>
          <w:lang w:val="en-US"/>
        </w:rPr>
      </w:pPr>
      <w:r>
        <w:rPr>
          <w:b w:val="0"/>
          <w:sz w:val="24"/>
          <w:szCs w:val="24"/>
          <w:lang w:val="en-US"/>
        </w:rPr>
        <w:t>We recommend copying this URL into your browser and savi</w:t>
      </w:r>
      <w:r w:rsidR="006849E7">
        <w:rPr>
          <w:b w:val="0"/>
          <w:sz w:val="24"/>
          <w:szCs w:val="24"/>
          <w:lang w:val="en-US"/>
        </w:rPr>
        <w:t xml:space="preserve">ng it as a bookmark.  Thanks to Henry Porter </w:t>
      </w:r>
      <w:r>
        <w:rPr>
          <w:b w:val="0"/>
          <w:sz w:val="24"/>
          <w:szCs w:val="24"/>
          <w:lang w:val="en-US"/>
        </w:rPr>
        <w:t>for this tip.</w:t>
      </w:r>
    </w:p>
    <w:p w:rsidR="00EF2CEF" w:rsidRPr="00E25335" w:rsidRDefault="00EF2CEF" w:rsidP="00EF2CEF">
      <w:pPr>
        <w:pStyle w:val="Heading1"/>
        <w:ind w:left="720"/>
        <w:rPr>
          <w:sz w:val="24"/>
          <w:szCs w:val="24"/>
          <w:lang w:val="en-US"/>
        </w:rPr>
      </w:pPr>
    </w:p>
    <w:sectPr w:rsidR="00EF2CEF" w:rsidRPr="00E25335" w:rsidSect="008C723C">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79" w:rsidRDefault="00410679" w:rsidP="008C723C">
      <w:r>
        <w:separator/>
      </w:r>
    </w:p>
  </w:endnote>
  <w:endnote w:type="continuationSeparator" w:id="0">
    <w:p w:rsidR="00410679" w:rsidRDefault="00410679" w:rsidP="008C7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679" w:rsidRDefault="00410679">
    <w:pPr>
      <w:pStyle w:val="Footer"/>
      <w:jc w:val="center"/>
    </w:pPr>
    <w:r>
      <w:fldChar w:fldCharType="begin"/>
    </w:r>
    <w:r>
      <w:instrText xml:space="preserve"> PAGE   \* MERGEFORMAT </w:instrText>
    </w:r>
    <w:r>
      <w:fldChar w:fldCharType="separate"/>
    </w:r>
    <w:r w:rsidR="00350843">
      <w:rPr>
        <w:noProof/>
      </w:rPr>
      <w:t>2</w:t>
    </w:r>
    <w:r>
      <w:fldChar w:fldCharType="end"/>
    </w:r>
  </w:p>
  <w:p w:rsidR="00410679" w:rsidRDefault="00410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79" w:rsidRDefault="00410679" w:rsidP="008C723C">
      <w:r>
        <w:separator/>
      </w:r>
    </w:p>
  </w:footnote>
  <w:footnote w:type="continuationSeparator" w:id="0">
    <w:p w:rsidR="00410679" w:rsidRDefault="00410679" w:rsidP="008C72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nsid w:val="0A60394A"/>
    <w:multiLevelType w:val="hybridMultilevel"/>
    <w:tmpl w:val="A088FFA4"/>
    <w:lvl w:ilvl="0" w:tplc="DCA8A3D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D108F"/>
    <w:multiLevelType w:val="hybridMultilevel"/>
    <w:tmpl w:val="4D260F66"/>
    <w:lvl w:ilvl="0" w:tplc="4BBCEBC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E637FA"/>
    <w:multiLevelType w:val="hybridMultilevel"/>
    <w:tmpl w:val="2ADE14EA"/>
    <w:lvl w:ilvl="0" w:tplc="F6CEC7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4264F7"/>
    <w:multiLevelType w:val="hybridMultilevel"/>
    <w:tmpl w:val="2952B218"/>
    <w:lvl w:ilvl="0" w:tplc="8D428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8A28B4"/>
    <w:multiLevelType w:val="hybridMultilevel"/>
    <w:tmpl w:val="955E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3566F"/>
    <w:multiLevelType w:val="hybridMultilevel"/>
    <w:tmpl w:val="26C26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003D1"/>
    <w:multiLevelType w:val="multilevel"/>
    <w:tmpl w:val="3E1C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804FDD"/>
    <w:multiLevelType w:val="hybridMultilevel"/>
    <w:tmpl w:val="D58CDDC4"/>
    <w:lvl w:ilvl="0" w:tplc="21E82810">
      <w:start w:val="1"/>
      <w:numFmt w:val="decimal"/>
      <w:lvlText w:val="%1."/>
      <w:lvlJc w:val="left"/>
      <w:pPr>
        <w:ind w:left="55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6D06EC"/>
    <w:multiLevelType w:val="hybridMultilevel"/>
    <w:tmpl w:val="761CB3FE"/>
    <w:lvl w:ilvl="0" w:tplc="AD8AF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2E1061"/>
    <w:multiLevelType w:val="hybridMultilevel"/>
    <w:tmpl w:val="193A3914"/>
    <w:lvl w:ilvl="0" w:tplc="1F0EBDC4">
      <w:start w:val="1"/>
      <w:numFmt w:val="upp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93171A"/>
    <w:multiLevelType w:val="hybridMultilevel"/>
    <w:tmpl w:val="A9E2EFE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E4CDE"/>
    <w:multiLevelType w:val="hybridMultilevel"/>
    <w:tmpl w:val="6D58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76EF8"/>
    <w:multiLevelType w:val="hybridMultilevel"/>
    <w:tmpl w:val="D1D4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146FC"/>
    <w:multiLevelType w:val="hybridMultilevel"/>
    <w:tmpl w:val="C4FA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746E0"/>
    <w:multiLevelType w:val="hybridMultilevel"/>
    <w:tmpl w:val="D4A43F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DA6540"/>
    <w:multiLevelType w:val="hybridMultilevel"/>
    <w:tmpl w:val="C68EBDAA"/>
    <w:lvl w:ilvl="0" w:tplc="BE067FBC">
      <w:start w:val="1"/>
      <w:numFmt w:val="upperLetter"/>
      <w:lvlText w:val="%1."/>
      <w:lvlJc w:val="left"/>
      <w:pPr>
        <w:ind w:left="720" w:hanging="360"/>
      </w:pPr>
      <w:rPr>
        <w:rFonts w:hint="default"/>
        <w:b/>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B30F43"/>
    <w:multiLevelType w:val="hybridMultilevel"/>
    <w:tmpl w:val="0010A14C"/>
    <w:lvl w:ilvl="0" w:tplc="29C030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BF0BEA"/>
    <w:multiLevelType w:val="multilevel"/>
    <w:tmpl w:val="7E6E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E4A50"/>
    <w:multiLevelType w:val="hybridMultilevel"/>
    <w:tmpl w:val="5618325A"/>
    <w:lvl w:ilvl="0" w:tplc="67CC8A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9244B15"/>
    <w:multiLevelType w:val="hybridMultilevel"/>
    <w:tmpl w:val="9F0C04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BDE7610"/>
    <w:multiLevelType w:val="hybridMultilevel"/>
    <w:tmpl w:val="075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97E7A"/>
    <w:multiLevelType w:val="hybridMultilevel"/>
    <w:tmpl w:val="E3A83F8E"/>
    <w:lvl w:ilvl="0" w:tplc="02D6190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0AA70E6"/>
    <w:multiLevelType w:val="hybridMultilevel"/>
    <w:tmpl w:val="0AAE2EE2"/>
    <w:lvl w:ilvl="0" w:tplc="FB9C595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EF0E84"/>
    <w:multiLevelType w:val="hybridMultilevel"/>
    <w:tmpl w:val="26C0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5B6B72"/>
    <w:multiLevelType w:val="hybridMultilevel"/>
    <w:tmpl w:val="76FC3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4E20FB"/>
    <w:multiLevelType w:val="hybridMultilevel"/>
    <w:tmpl w:val="184EE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86333"/>
    <w:multiLevelType w:val="hybridMultilevel"/>
    <w:tmpl w:val="D004E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83418E"/>
    <w:multiLevelType w:val="hybridMultilevel"/>
    <w:tmpl w:val="9B544D42"/>
    <w:lvl w:ilvl="0" w:tplc="C29A0FF6">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F750B2A"/>
    <w:multiLevelType w:val="hybridMultilevel"/>
    <w:tmpl w:val="2F6238A6"/>
    <w:lvl w:ilvl="0" w:tplc="244E22C4">
      <w:start w:val="3"/>
      <w:numFmt w:val="bullet"/>
      <w:lvlText w:val=""/>
      <w:lvlJc w:val="left"/>
      <w:pPr>
        <w:ind w:left="1080" w:hanging="360"/>
      </w:pPr>
      <w:rPr>
        <w:rFonts w:ascii="Symbol" w:eastAsia="Times New Roman" w:hAnsi="Symbol"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416ACF"/>
    <w:multiLevelType w:val="hybridMultilevel"/>
    <w:tmpl w:val="7B084DA4"/>
    <w:lvl w:ilvl="0" w:tplc="6F12A20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B66A76"/>
    <w:multiLevelType w:val="hybridMultilevel"/>
    <w:tmpl w:val="7DD00C82"/>
    <w:lvl w:ilvl="0" w:tplc="4D4814EC">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F318D7"/>
    <w:multiLevelType w:val="hybridMultilevel"/>
    <w:tmpl w:val="3976B48A"/>
    <w:lvl w:ilvl="0" w:tplc="C92EA3C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651CEC"/>
    <w:multiLevelType w:val="hybridMultilevel"/>
    <w:tmpl w:val="91A6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30299E"/>
    <w:multiLevelType w:val="hybridMultilevel"/>
    <w:tmpl w:val="A9081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125E10"/>
    <w:multiLevelType w:val="hybridMultilevel"/>
    <w:tmpl w:val="30464FC6"/>
    <w:lvl w:ilvl="0" w:tplc="DC6A8B94">
      <w:start w:val="3"/>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B172E3"/>
    <w:multiLevelType w:val="hybridMultilevel"/>
    <w:tmpl w:val="21D2E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E4CAC"/>
    <w:multiLevelType w:val="hybridMultilevel"/>
    <w:tmpl w:val="E5BC0CA2"/>
    <w:lvl w:ilvl="0" w:tplc="C038D65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DFF31EA"/>
    <w:multiLevelType w:val="hybridMultilevel"/>
    <w:tmpl w:val="1D76AD04"/>
    <w:lvl w:ilvl="0" w:tplc="01626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5345CB"/>
    <w:multiLevelType w:val="hybridMultilevel"/>
    <w:tmpl w:val="90848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29222FC"/>
    <w:multiLevelType w:val="hybridMultilevel"/>
    <w:tmpl w:val="86EEC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61D44"/>
    <w:multiLevelType w:val="hybridMultilevel"/>
    <w:tmpl w:val="CC58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49263B"/>
    <w:multiLevelType w:val="multilevel"/>
    <w:tmpl w:val="CE7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3"/>
  </w:num>
  <w:num w:numId="3">
    <w:abstractNumId w:val="30"/>
  </w:num>
  <w:num w:numId="4">
    <w:abstractNumId w:val="3"/>
  </w:num>
  <w:num w:numId="5">
    <w:abstractNumId w:val="19"/>
  </w:num>
  <w:num w:numId="6">
    <w:abstractNumId w:val="41"/>
  </w:num>
  <w:num w:numId="7">
    <w:abstractNumId w:val="16"/>
  </w:num>
  <w:num w:numId="8">
    <w:abstractNumId w:val="15"/>
  </w:num>
  <w:num w:numId="9">
    <w:abstractNumId w:val="18"/>
  </w:num>
  <w:num w:numId="10">
    <w:abstractNumId w:val="20"/>
  </w:num>
  <w:num w:numId="11">
    <w:abstractNumId w:val="8"/>
  </w:num>
  <w:num w:numId="12">
    <w:abstractNumId w:val="37"/>
  </w:num>
  <w:num w:numId="13">
    <w:abstractNumId w:val="10"/>
  </w:num>
  <w:num w:numId="14">
    <w:abstractNumId w:val="9"/>
  </w:num>
  <w:num w:numId="15">
    <w:abstractNumId w:val="28"/>
  </w:num>
  <w:num w:numId="16">
    <w:abstractNumId w:val="35"/>
  </w:num>
  <w:num w:numId="17">
    <w:abstractNumId w:val="29"/>
  </w:num>
  <w:num w:numId="18">
    <w:abstractNumId w:val="13"/>
  </w:num>
  <w:num w:numId="19">
    <w:abstractNumId w:val="14"/>
  </w:num>
  <w:num w:numId="20">
    <w:abstractNumId w:val="39"/>
  </w:num>
  <w:num w:numId="21">
    <w:abstractNumId w:val="38"/>
  </w:num>
  <w:num w:numId="22">
    <w:abstractNumId w:val="31"/>
  </w:num>
  <w:num w:numId="23">
    <w:abstractNumId w:val="27"/>
  </w:num>
  <w:num w:numId="24">
    <w:abstractNumId w:val="21"/>
  </w:num>
  <w:num w:numId="25">
    <w:abstractNumId w:val="12"/>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5"/>
  </w:num>
  <w:num w:numId="30">
    <w:abstractNumId w:val="6"/>
  </w:num>
  <w:num w:numId="31">
    <w:abstractNumId w:val="34"/>
  </w:num>
  <w:num w:numId="32">
    <w:abstractNumId w:val="22"/>
  </w:num>
  <w:num w:numId="33">
    <w:abstractNumId w:val="33"/>
  </w:num>
  <w:num w:numId="34">
    <w:abstractNumId w:val="1"/>
  </w:num>
  <w:num w:numId="35">
    <w:abstractNumId w:val="42"/>
  </w:num>
  <w:num w:numId="36">
    <w:abstractNumId w:val="11"/>
  </w:num>
  <w:num w:numId="37">
    <w:abstractNumId w:val="7"/>
  </w:num>
  <w:num w:numId="38">
    <w:abstractNumId w:val="40"/>
  </w:num>
  <w:num w:numId="39">
    <w:abstractNumId w:val="0"/>
  </w:num>
  <w:num w:numId="40">
    <w:abstractNumId w:val="26"/>
  </w:num>
  <w:num w:numId="41">
    <w:abstractNumId w:val="2"/>
  </w:num>
  <w:num w:numId="42">
    <w:abstractNumId w:val="17"/>
  </w:num>
  <w:num w:numId="43">
    <w:abstractNumId w:val="36"/>
  </w:num>
  <w:num w:numId="44">
    <w:abstractNumId w:val="3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A0"/>
    <w:rsid w:val="00001855"/>
    <w:rsid w:val="00014E3A"/>
    <w:rsid w:val="00015CB0"/>
    <w:rsid w:val="000228B3"/>
    <w:rsid w:val="000235D4"/>
    <w:rsid w:val="000303F9"/>
    <w:rsid w:val="00031C06"/>
    <w:rsid w:val="00033908"/>
    <w:rsid w:val="00034B3A"/>
    <w:rsid w:val="000359C8"/>
    <w:rsid w:val="00040BD4"/>
    <w:rsid w:val="00047282"/>
    <w:rsid w:val="00052E51"/>
    <w:rsid w:val="000553F9"/>
    <w:rsid w:val="000609B1"/>
    <w:rsid w:val="00075A80"/>
    <w:rsid w:val="00087255"/>
    <w:rsid w:val="00097C14"/>
    <w:rsid w:val="000A0CBF"/>
    <w:rsid w:val="000A3855"/>
    <w:rsid w:val="000B1D45"/>
    <w:rsid w:val="000B536B"/>
    <w:rsid w:val="000D4F6F"/>
    <w:rsid w:val="000D541C"/>
    <w:rsid w:val="000E0979"/>
    <w:rsid w:val="000E120F"/>
    <w:rsid w:val="000F0EAD"/>
    <w:rsid w:val="000F44A3"/>
    <w:rsid w:val="000F5516"/>
    <w:rsid w:val="000F5D17"/>
    <w:rsid w:val="000F6336"/>
    <w:rsid w:val="001015E8"/>
    <w:rsid w:val="00107F2D"/>
    <w:rsid w:val="00112710"/>
    <w:rsid w:val="001173F0"/>
    <w:rsid w:val="00124938"/>
    <w:rsid w:val="00130944"/>
    <w:rsid w:val="0013236B"/>
    <w:rsid w:val="00132EA7"/>
    <w:rsid w:val="00136440"/>
    <w:rsid w:val="00142179"/>
    <w:rsid w:val="00151BC1"/>
    <w:rsid w:val="00156BE7"/>
    <w:rsid w:val="0016275E"/>
    <w:rsid w:val="001636B0"/>
    <w:rsid w:val="00165ADC"/>
    <w:rsid w:val="00171B19"/>
    <w:rsid w:val="001723CB"/>
    <w:rsid w:val="00181F6F"/>
    <w:rsid w:val="001923B2"/>
    <w:rsid w:val="00192C50"/>
    <w:rsid w:val="001A4864"/>
    <w:rsid w:val="001A6E5C"/>
    <w:rsid w:val="001B10C7"/>
    <w:rsid w:val="001B245A"/>
    <w:rsid w:val="001B52A1"/>
    <w:rsid w:val="001C3C99"/>
    <w:rsid w:val="001C4061"/>
    <w:rsid w:val="001C6EBD"/>
    <w:rsid w:val="001D5EC5"/>
    <w:rsid w:val="001D78C1"/>
    <w:rsid w:val="001E0318"/>
    <w:rsid w:val="001E1A86"/>
    <w:rsid w:val="001E7ECD"/>
    <w:rsid w:val="001F7F9D"/>
    <w:rsid w:val="0020075D"/>
    <w:rsid w:val="00201DF5"/>
    <w:rsid w:val="002063C6"/>
    <w:rsid w:val="00207465"/>
    <w:rsid w:val="00210011"/>
    <w:rsid w:val="00213B82"/>
    <w:rsid w:val="00216694"/>
    <w:rsid w:val="00220ADD"/>
    <w:rsid w:val="00227C66"/>
    <w:rsid w:val="00233DC5"/>
    <w:rsid w:val="00234B9D"/>
    <w:rsid w:val="002375D2"/>
    <w:rsid w:val="00246F1B"/>
    <w:rsid w:val="00250E96"/>
    <w:rsid w:val="00251F3D"/>
    <w:rsid w:val="00255082"/>
    <w:rsid w:val="002605F1"/>
    <w:rsid w:val="00262D2E"/>
    <w:rsid w:val="002706AA"/>
    <w:rsid w:val="00271926"/>
    <w:rsid w:val="00273C29"/>
    <w:rsid w:val="002767CB"/>
    <w:rsid w:val="0029583B"/>
    <w:rsid w:val="002966E6"/>
    <w:rsid w:val="00297744"/>
    <w:rsid w:val="002A19F5"/>
    <w:rsid w:val="002A24C4"/>
    <w:rsid w:val="002A7AF6"/>
    <w:rsid w:val="002B51BF"/>
    <w:rsid w:val="002B657D"/>
    <w:rsid w:val="002C7A28"/>
    <w:rsid w:val="002D0C1A"/>
    <w:rsid w:val="002D0C4F"/>
    <w:rsid w:val="002D31EA"/>
    <w:rsid w:val="002D6DFF"/>
    <w:rsid w:val="002D6E20"/>
    <w:rsid w:val="002D7F19"/>
    <w:rsid w:val="002E03EC"/>
    <w:rsid w:val="002E3EC3"/>
    <w:rsid w:val="002F0CBF"/>
    <w:rsid w:val="002F3363"/>
    <w:rsid w:val="002F4B0E"/>
    <w:rsid w:val="002F5D91"/>
    <w:rsid w:val="002F608B"/>
    <w:rsid w:val="00305F2A"/>
    <w:rsid w:val="00306AC3"/>
    <w:rsid w:val="00321E87"/>
    <w:rsid w:val="00322174"/>
    <w:rsid w:val="00323235"/>
    <w:rsid w:val="00327C4D"/>
    <w:rsid w:val="00345767"/>
    <w:rsid w:val="00350843"/>
    <w:rsid w:val="003557CE"/>
    <w:rsid w:val="003566EB"/>
    <w:rsid w:val="00360EEC"/>
    <w:rsid w:val="003646A3"/>
    <w:rsid w:val="00373105"/>
    <w:rsid w:val="00373F82"/>
    <w:rsid w:val="003A13A3"/>
    <w:rsid w:val="003A441B"/>
    <w:rsid w:val="003A6109"/>
    <w:rsid w:val="003A6558"/>
    <w:rsid w:val="003B2A5B"/>
    <w:rsid w:val="003C4586"/>
    <w:rsid w:val="003C5724"/>
    <w:rsid w:val="003D3ABB"/>
    <w:rsid w:val="003E01BB"/>
    <w:rsid w:val="003E225D"/>
    <w:rsid w:val="003E6559"/>
    <w:rsid w:val="003F04A3"/>
    <w:rsid w:val="003F15EE"/>
    <w:rsid w:val="0040322A"/>
    <w:rsid w:val="004069BB"/>
    <w:rsid w:val="00410679"/>
    <w:rsid w:val="00411B61"/>
    <w:rsid w:val="00413C49"/>
    <w:rsid w:val="0041443A"/>
    <w:rsid w:val="004167EA"/>
    <w:rsid w:val="004264CF"/>
    <w:rsid w:val="00427E0D"/>
    <w:rsid w:val="0043761B"/>
    <w:rsid w:val="00440AE3"/>
    <w:rsid w:val="00443848"/>
    <w:rsid w:val="00444170"/>
    <w:rsid w:val="004442D3"/>
    <w:rsid w:val="00452C67"/>
    <w:rsid w:val="004610BE"/>
    <w:rsid w:val="00467C7E"/>
    <w:rsid w:val="0047326F"/>
    <w:rsid w:val="004749B5"/>
    <w:rsid w:val="00480A91"/>
    <w:rsid w:val="00483FAD"/>
    <w:rsid w:val="004860B8"/>
    <w:rsid w:val="00487278"/>
    <w:rsid w:val="0049142E"/>
    <w:rsid w:val="00494042"/>
    <w:rsid w:val="0049696A"/>
    <w:rsid w:val="00496ADD"/>
    <w:rsid w:val="00496B64"/>
    <w:rsid w:val="004975CA"/>
    <w:rsid w:val="00497A23"/>
    <w:rsid w:val="004A5A2C"/>
    <w:rsid w:val="004A7C8B"/>
    <w:rsid w:val="004C02A3"/>
    <w:rsid w:val="004C060D"/>
    <w:rsid w:val="004C26C9"/>
    <w:rsid w:val="004C3C6A"/>
    <w:rsid w:val="004C4BDF"/>
    <w:rsid w:val="004C5DBE"/>
    <w:rsid w:val="004D0E84"/>
    <w:rsid w:val="004D4664"/>
    <w:rsid w:val="004D4AD5"/>
    <w:rsid w:val="004E2693"/>
    <w:rsid w:val="004E584E"/>
    <w:rsid w:val="004E7199"/>
    <w:rsid w:val="004F773C"/>
    <w:rsid w:val="00503CFE"/>
    <w:rsid w:val="00506CFD"/>
    <w:rsid w:val="00507A5D"/>
    <w:rsid w:val="005164CA"/>
    <w:rsid w:val="005168E8"/>
    <w:rsid w:val="00520365"/>
    <w:rsid w:val="0052325E"/>
    <w:rsid w:val="00544C81"/>
    <w:rsid w:val="00557C0A"/>
    <w:rsid w:val="005615FF"/>
    <w:rsid w:val="005634DD"/>
    <w:rsid w:val="00563D94"/>
    <w:rsid w:val="00572AA7"/>
    <w:rsid w:val="0057669C"/>
    <w:rsid w:val="00576EA3"/>
    <w:rsid w:val="00577922"/>
    <w:rsid w:val="005800AD"/>
    <w:rsid w:val="005811A5"/>
    <w:rsid w:val="00582103"/>
    <w:rsid w:val="0059746D"/>
    <w:rsid w:val="005A0036"/>
    <w:rsid w:val="005B009F"/>
    <w:rsid w:val="005B59FD"/>
    <w:rsid w:val="005C5BD3"/>
    <w:rsid w:val="005C6EB2"/>
    <w:rsid w:val="005D2630"/>
    <w:rsid w:val="005E0EDF"/>
    <w:rsid w:val="005F0332"/>
    <w:rsid w:val="005F0A12"/>
    <w:rsid w:val="005F209C"/>
    <w:rsid w:val="005F5D5F"/>
    <w:rsid w:val="005F66E1"/>
    <w:rsid w:val="005F78C6"/>
    <w:rsid w:val="00605BBE"/>
    <w:rsid w:val="00606A93"/>
    <w:rsid w:val="00610741"/>
    <w:rsid w:val="00612475"/>
    <w:rsid w:val="00623BD3"/>
    <w:rsid w:val="00627250"/>
    <w:rsid w:val="0062782D"/>
    <w:rsid w:val="0063175D"/>
    <w:rsid w:val="006349B8"/>
    <w:rsid w:val="0064040B"/>
    <w:rsid w:val="006442A6"/>
    <w:rsid w:val="00645361"/>
    <w:rsid w:val="00650D72"/>
    <w:rsid w:val="00653AC7"/>
    <w:rsid w:val="00665D25"/>
    <w:rsid w:val="00671921"/>
    <w:rsid w:val="00672669"/>
    <w:rsid w:val="006803C4"/>
    <w:rsid w:val="006844E6"/>
    <w:rsid w:val="006849E7"/>
    <w:rsid w:val="00686789"/>
    <w:rsid w:val="00686990"/>
    <w:rsid w:val="00687129"/>
    <w:rsid w:val="006A406F"/>
    <w:rsid w:val="006B5EC6"/>
    <w:rsid w:val="006C0D7B"/>
    <w:rsid w:val="006C0DDC"/>
    <w:rsid w:val="006C71B7"/>
    <w:rsid w:val="006C7884"/>
    <w:rsid w:val="006D3335"/>
    <w:rsid w:val="006D3924"/>
    <w:rsid w:val="006D4E28"/>
    <w:rsid w:val="006D7420"/>
    <w:rsid w:val="006E557B"/>
    <w:rsid w:val="006F10A7"/>
    <w:rsid w:val="006F3314"/>
    <w:rsid w:val="00706F4A"/>
    <w:rsid w:val="007114C6"/>
    <w:rsid w:val="00723A21"/>
    <w:rsid w:val="00725D3C"/>
    <w:rsid w:val="007365E9"/>
    <w:rsid w:val="00736E8E"/>
    <w:rsid w:val="00737A5A"/>
    <w:rsid w:val="00737EAE"/>
    <w:rsid w:val="0074074C"/>
    <w:rsid w:val="00741FE1"/>
    <w:rsid w:val="00745FE3"/>
    <w:rsid w:val="00750FCE"/>
    <w:rsid w:val="007672CA"/>
    <w:rsid w:val="00771350"/>
    <w:rsid w:val="007749FF"/>
    <w:rsid w:val="0078008A"/>
    <w:rsid w:val="00781421"/>
    <w:rsid w:val="00781EC6"/>
    <w:rsid w:val="00783F5F"/>
    <w:rsid w:val="007A01C4"/>
    <w:rsid w:val="007A53C8"/>
    <w:rsid w:val="007A5E53"/>
    <w:rsid w:val="007B3A1A"/>
    <w:rsid w:val="007B5638"/>
    <w:rsid w:val="007B61BE"/>
    <w:rsid w:val="007B7C28"/>
    <w:rsid w:val="007C2961"/>
    <w:rsid w:val="007D4CED"/>
    <w:rsid w:val="007D4EB1"/>
    <w:rsid w:val="007D64DA"/>
    <w:rsid w:val="007E1BC0"/>
    <w:rsid w:val="007E50DA"/>
    <w:rsid w:val="007F070E"/>
    <w:rsid w:val="007F109F"/>
    <w:rsid w:val="007F2AF0"/>
    <w:rsid w:val="007F5F49"/>
    <w:rsid w:val="00802233"/>
    <w:rsid w:val="00804C8F"/>
    <w:rsid w:val="00805866"/>
    <w:rsid w:val="0080783E"/>
    <w:rsid w:val="008135BA"/>
    <w:rsid w:val="008211ED"/>
    <w:rsid w:val="0082355B"/>
    <w:rsid w:val="00826963"/>
    <w:rsid w:val="00830896"/>
    <w:rsid w:val="0083691D"/>
    <w:rsid w:val="008400E5"/>
    <w:rsid w:val="00847F93"/>
    <w:rsid w:val="00851541"/>
    <w:rsid w:val="008826EE"/>
    <w:rsid w:val="00892CE6"/>
    <w:rsid w:val="00893D55"/>
    <w:rsid w:val="008A58DF"/>
    <w:rsid w:val="008B1E08"/>
    <w:rsid w:val="008B36A5"/>
    <w:rsid w:val="008B4BAC"/>
    <w:rsid w:val="008B619D"/>
    <w:rsid w:val="008B7A30"/>
    <w:rsid w:val="008B7BC0"/>
    <w:rsid w:val="008C17EA"/>
    <w:rsid w:val="008C723C"/>
    <w:rsid w:val="008E12BE"/>
    <w:rsid w:val="008F3B04"/>
    <w:rsid w:val="008F52D3"/>
    <w:rsid w:val="008F616E"/>
    <w:rsid w:val="0090175B"/>
    <w:rsid w:val="009053E3"/>
    <w:rsid w:val="009061FE"/>
    <w:rsid w:val="00907CC3"/>
    <w:rsid w:val="00913C68"/>
    <w:rsid w:val="00914B9B"/>
    <w:rsid w:val="0093293F"/>
    <w:rsid w:val="00933CDF"/>
    <w:rsid w:val="00936860"/>
    <w:rsid w:val="009369B4"/>
    <w:rsid w:val="00936A2D"/>
    <w:rsid w:val="00937C4C"/>
    <w:rsid w:val="0094473F"/>
    <w:rsid w:val="00946AA5"/>
    <w:rsid w:val="00952269"/>
    <w:rsid w:val="00956FE7"/>
    <w:rsid w:val="0096268E"/>
    <w:rsid w:val="009639C3"/>
    <w:rsid w:val="009646E7"/>
    <w:rsid w:val="00970E4F"/>
    <w:rsid w:val="0097368E"/>
    <w:rsid w:val="00973F3B"/>
    <w:rsid w:val="00974005"/>
    <w:rsid w:val="00984D82"/>
    <w:rsid w:val="009940CA"/>
    <w:rsid w:val="0099600C"/>
    <w:rsid w:val="009A1436"/>
    <w:rsid w:val="009B24BA"/>
    <w:rsid w:val="009C27B0"/>
    <w:rsid w:val="009C5B08"/>
    <w:rsid w:val="009C616B"/>
    <w:rsid w:val="009D53A6"/>
    <w:rsid w:val="009E7376"/>
    <w:rsid w:val="009F038C"/>
    <w:rsid w:val="009F62BB"/>
    <w:rsid w:val="00A03DF5"/>
    <w:rsid w:val="00A10459"/>
    <w:rsid w:val="00A133A3"/>
    <w:rsid w:val="00A14DC5"/>
    <w:rsid w:val="00A204AD"/>
    <w:rsid w:val="00A27391"/>
    <w:rsid w:val="00A30F15"/>
    <w:rsid w:val="00A3243C"/>
    <w:rsid w:val="00A44666"/>
    <w:rsid w:val="00A5574A"/>
    <w:rsid w:val="00A56CF3"/>
    <w:rsid w:val="00A56F5A"/>
    <w:rsid w:val="00A61CF3"/>
    <w:rsid w:val="00A63DC0"/>
    <w:rsid w:val="00A650B4"/>
    <w:rsid w:val="00A7040B"/>
    <w:rsid w:val="00A71A8F"/>
    <w:rsid w:val="00A71F73"/>
    <w:rsid w:val="00A769C5"/>
    <w:rsid w:val="00A8182A"/>
    <w:rsid w:val="00AA66BF"/>
    <w:rsid w:val="00AA7D35"/>
    <w:rsid w:val="00AB2CE6"/>
    <w:rsid w:val="00AB4268"/>
    <w:rsid w:val="00AB5533"/>
    <w:rsid w:val="00AC1D5D"/>
    <w:rsid w:val="00AC30A0"/>
    <w:rsid w:val="00AC78D8"/>
    <w:rsid w:val="00AD51FB"/>
    <w:rsid w:val="00AE2F62"/>
    <w:rsid w:val="00AE7F98"/>
    <w:rsid w:val="00AF0A44"/>
    <w:rsid w:val="00AF3DA5"/>
    <w:rsid w:val="00AF5BF9"/>
    <w:rsid w:val="00AF6C18"/>
    <w:rsid w:val="00B022BE"/>
    <w:rsid w:val="00B054F6"/>
    <w:rsid w:val="00B14102"/>
    <w:rsid w:val="00B164F2"/>
    <w:rsid w:val="00B227C0"/>
    <w:rsid w:val="00B242FA"/>
    <w:rsid w:val="00B40C29"/>
    <w:rsid w:val="00B42AD5"/>
    <w:rsid w:val="00B43A8F"/>
    <w:rsid w:val="00B508E8"/>
    <w:rsid w:val="00B53805"/>
    <w:rsid w:val="00B55C97"/>
    <w:rsid w:val="00B61133"/>
    <w:rsid w:val="00B61942"/>
    <w:rsid w:val="00B63822"/>
    <w:rsid w:val="00B64B4E"/>
    <w:rsid w:val="00B6694A"/>
    <w:rsid w:val="00B74E07"/>
    <w:rsid w:val="00B82F19"/>
    <w:rsid w:val="00B92762"/>
    <w:rsid w:val="00B93140"/>
    <w:rsid w:val="00BA161C"/>
    <w:rsid w:val="00BA4794"/>
    <w:rsid w:val="00BA5C17"/>
    <w:rsid w:val="00BB2D9A"/>
    <w:rsid w:val="00BB4CA9"/>
    <w:rsid w:val="00BC1FED"/>
    <w:rsid w:val="00BC2648"/>
    <w:rsid w:val="00BC51EF"/>
    <w:rsid w:val="00BC60E4"/>
    <w:rsid w:val="00BC66C7"/>
    <w:rsid w:val="00BD04F6"/>
    <w:rsid w:val="00BD2D1F"/>
    <w:rsid w:val="00BE06A8"/>
    <w:rsid w:val="00BE31FC"/>
    <w:rsid w:val="00BF08EF"/>
    <w:rsid w:val="00BF4F96"/>
    <w:rsid w:val="00C05C0B"/>
    <w:rsid w:val="00C3282F"/>
    <w:rsid w:val="00C35D93"/>
    <w:rsid w:val="00C36A99"/>
    <w:rsid w:val="00C3788F"/>
    <w:rsid w:val="00C4147B"/>
    <w:rsid w:val="00C4679C"/>
    <w:rsid w:val="00C61F07"/>
    <w:rsid w:val="00C7043C"/>
    <w:rsid w:val="00C71DFC"/>
    <w:rsid w:val="00C8093F"/>
    <w:rsid w:val="00C92558"/>
    <w:rsid w:val="00CB1B75"/>
    <w:rsid w:val="00CB719D"/>
    <w:rsid w:val="00CC603F"/>
    <w:rsid w:val="00CE3290"/>
    <w:rsid w:val="00CE598E"/>
    <w:rsid w:val="00CF255D"/>
    <w:rsid w:val="00CF2C39"/>
    <w:rsid w:val="00CF5C27"/>
    <w:rsid w:val="00D04014"/>
    <w:rsid w:val="00D056A6"/>
    <w:rsid w:val="00D26473"/>
    <w:rsid w:val="00D4635B"/>
    <w:rsid w:val="00D47F4D"/>
    <w:rsid w:val="00D501D6"/>
    <w:rsid w:val="00D502B0"/>
    <w:rsid w:val="00D51789"/>
    <w:rsid w:val="00D55861"/>
    <w:rsid w:val="00D62B6D"/>
    <w:rsid w:val="00D65782"/>
    <w:rsid w:val="00D92929"/>
    <w:rsid w:val="00D93E09"/>
    <w:rsid w:val="00D95614"/>
    <w:rsid w:val="00DA5493"/>
    <w:rsid w:val="00DA6E5C"/>
    <w:rsid w:val="00DB7E27"/>
    <w:rsid w:val="00DC3F5E"/>
    <w:rsid w:val="00DC499E"/>
    <w:rsid w:val="00DC6E60"/>
    <w:rsid w:val="00DD2AA9"/>
    <w:rsid w:val="00DD6943"/>
    <w:rsid w:val="00DD6CF5"/>
    <w:rsid w:val="00DD7305"/>
    <w:rsid w:val="00DE03EF"/>
    <w:rsid w:val="00DE2FC0"/>
    <w:rsid w:val="00DF02D4"/>
    <w:rsid w:val="00DF0733"/>
    <w:rsid w:val="00DF3E3C"/>
    <w:rsid w:val="00DF6671"/>
    <w:rsid w:val="00DF6AB7"/>
    <w:rsid w:val="00E07542"/>
    <w:rsid w:val="00E22D40"/>
    <w:rsid w:val="00E24331"/>
    <w:rsid w:val="00E24A8E"/>
    <w:rsid w:val="00E25335"/>
    <w:rsid w:val="00E34DCF"/>
    <w:rsid w:val="00E4435A"/>
    <w:rsid w:val="00E44FA1"/>
    <w:rsid w:val="00E55826"/>
    <w:rsid w:val="00E6275E"/>
    <w:rsid w:val="00E63F25"/>
    <w:rsid w:val="00E64703"/>
    <w:rsid w:val="00E81588"/>
    <w:rsid w:val="00E81BAD"/>
    <w:rsid w:val="00E83E96"/>
    <w:rsid w:val="00E848A1"/>
    <w:rsid w:val="00E85AA3"/>
    <w:rsid w:val="00E95DE4"/>
    <w:rsid w:val="00E96116"/>
    <w:rsid w:val="00E96669"/>
    <w:rsid w:val="00EA1BB5"/>
    <w:rsid w:val="00ED04A4"/>
    <w:rsid w:val="00ED70A6"/>
    <w:rsid w:val="00EE42BD"/>
    <w:rsid w:val="00EE5C33"/>
    <w:rsid w:val="00EF1B5B"/>
    <w:rsid w:val="00EF2CEF"/>
    <w:rsid w:val="00EF5115"/>
    <w:rsid w:val="00EF68C4"/>
    <w:rsid w:val="00F02054"/>
    <w:rsid w:val="00F02DF5"/>
    <w:rsid w:val="00F066AB"/>
    <w:rsid w:val="00F15FEF"/>
    <w:rsid w:val="00F23D81"/>
    <w:rsid w:val="00F24386"/>
    <w:rsid w:val="00F25849"/>
    <w:rsid w:val="00F26BB7"/>
    <w:rsid w:val="00F40654"/>
    <w:rsid w:val="00F423DD"/>
    <w:rsid w:val="00F44146"/>
    <w:rsid w:val="00F47308"/>
    <w:rsid w:val="00F53F56"/>
    <w:rsid w:val="00F55394"/>
    <w:rsid w:val="00F56507"/>
    <w:rsid w:val="00F5797E"/>
    <w:rsid w:val="00F72BD3"/>
    <w:rsid w:val="00F81ECB"/>
    <w:rsid w:val="00F851F6"/>
    <w:rsid w:val="00F91CDD"/>
    <w:rsid w:val="00F97D15"/>
    <w:rsid w:val="00FA3550"/>
    <w:rsid w:val="00FA3786"/>
    <w:rsid w:val="00FC40C6"/>
    <w:rsid w:val="00FD45C7"/>
    <w:rsid w:val="00FD4F9D"/>
    <w:rsid w:val="00FD766F"/>
    <w:rsid w:val="00FE0E34"/>
    <w:rsid w:val="00FE3411"/>
    <w:rsid w:val="00FE50AE"/>
    <w:rsid w:val="00FE6D6C"/>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character" w:customStyle="1" w:styleId="ssleftalign">
    <w:name w:val="ss_leftalign"/>
    <w:basedOn w:val="DefaultParagraphFont"/>
    <w:rsid w:val="004C3C6A"/>
  </w:style>
  <w:style w:type="character" w:customStyle="1" w:styleId="ssit">
    <w:name w:val="ss_it"/>
    <w:basedOn w:val="DefaultParagraphFont"/>
    <w:rsid w:val="002F0CBF"/>
  </w:style>
  <w:style w:type="character" w:customStyle="1" w:styleId="sssh">
    <w:name w:val="ss_sh"/>
    <w:basedOn w:val="DefaultParagraphFont"/>
    <w:rsid w:val="002F0CBF"/>
  </w:style>
  <w:style w:type="character" w:customStyle="1" w:styleId="sspagshow">
    <w:name w:val="ss_pag_show"/>
    <w:basedOn w:val="DefaultParagraphFont"/>
    <w:rsid w:val="002F0CBF"/>
  </w:style>
  <w:style w:type="character" w:customStyle="1" w:styleId="ssrfcpassagedeactivated">
    <w:name w:val="ss_rfcpassage_deactivated"/>
    <w:basedOn w:val="DefaultParagraphFont"/>
    <w:rsid w:val="009B24BA"/>
  </w:style>
  <w:style w:type="character" w:customStyle="1" w:styleId="ssib">
    <w:name w:val="ss_ib"/>
    <w:basedOn w:val="DefaultParagraphFont"/>
    <w:rsid w:val="009B2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0A0"/>
    <w:pPr>
      <w:widowControl w:val="0"/>
    </w:pPr>
    <w:rPr>
      <w:rFonts w:ascii="Times New Roman" w:eastAsia="Times New Roman" w:hAnsi="Times New Roman"/>
      <w:snapToGrid w:val="0"/>
      <w:sz w:val="24"/>
    </w:rPr>
  </w:style>
  <w:style w:type="paragraph" w:styleId="Heading1">
    <w:name w:val="heading 1"/>
    <w:basedOn w:val="Normal"/>
    <w:link w:val="Heading1Char"/>
    <w:uiPriority w:val="9"/>
    <w:qFormat/>
    <w:rsid w:val="002D6E20"/>
    <w:pPr>
      <w:widowControl/>
      <w:spacing w:before="100" w:beforeAutospacing="1" w:after="100" w:afterAutospacing="1"/>
      <w:outlineLvl w:val="0"/>
    </w:pPr>
    <w:rPr>
      <w:b/>
      <w:bCs/>
      <w:snapToGrid/>
      <w:kern w:val="36"/>
      <w:sz w:val="48"/>
      <w:szCs w:val="48"/>
      <w:lang w:val="x-none" w:eastAsia="x-none"/>
    </w:rPr>
  </w:style>
  <w:style w:type="paragraph" w:styleId="Heading3">
    <w:name w:val="heading 3"/>
    <w:basedOn w:val="Normal"/>
    <w:next w:val="Normal"/>
    <w:link w:val="Heading3Char"/>
    <w:uiPriority w:val="9"/>
    <w:semiHidden/>
    <w:unhideWhenUsed/>
    <w:qFormat/>
    <w:rsid w:val="006C78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1A6E5C"/>
    <w:pPr>
      <w:autoSpaceDE w:val="0"/>
      <w:autoSpaceDN w:val="0"/>
      <w:adjustRightInd w:val="0"/>
    </w:pPr>
    <w:rPr>
      <w:rFonts w:ascii="Courier New" w:eastAsia="Calibri" w:hAnsi="Courier New"/>
      <w:snapToGrid/>
      <w:lang w:val="x-none" w:eastAsia="x-none"/>
    </w:rPr>
  </w:style>
  <w:style w:type="character" w:customStyle="1" w:styleId="FootnoteTextChar">
    <w:name w:val="Footnote Text Char"/>
    <w:link w:val="FootnoteText"/>
    <w:semiHidden/>
    <w:rsid w:val="001A6E5C"/>
    <w:rPr>
      <w:rFonts w:ascii="Courier New" w:hAnsi="Courier New"/>
      <w:sz w:val="24"/>
    </w:rPr>
  </w:style>
  <w:style w:type="character" w:styleId="Hyperlink">
    <w:name w:val="Hyperlink"/>
    <w:rsid w:val="00AC30A0"/>
    <w:rPr>
      <w:color w:val="0000FF"/>
      <w:u w:val="single"/>
    </w:rPr>
  </w:style>
  <w:style w:type="paragraph" w:styleId="PlainText">
    <w:name w:val="Plain Text"/>
    <w:basedOn w:val="Normal"/>
    <w:link w:val="PlainTextChar"/>
    <w:uiPriority w:val="99"/>
    <w:unhideWhenUsed/>
    <w:rsid w:val="00AC30A0"/>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AC30A0"/>
    <w:rPr>
      <w:rFonts w:ascii="Consolas" w:eastAsia="Calibri" w:hAnsi="Consolas" w:cs="Times New Roman"/>
      <w:sz w:val="21"/>
      <w:szCs w:val="21"/>
    </w:rPr>
  </w:style>
  <w:style w:type="paragraph" w:styleId="ListParagraph">
    <w:name w:val="List Paragraph"/>
    <w:basedOn w:val="Normal"/>
    <w:uiPriority w:val="34"/>
    <w:qFormat/>
    <w:rsid w:val="00F91CDD"/>
    <w:pPr>
      <w:ind w:left="720"/>
      <w:contextualSpacing/>
    </w:pPr>
  </w:style>
  <w:style w:type="paragraph" w:styleId="Header">
    <w:name w:val="header"/>
    <w:basedOn w:val="Normal"/>
    <w:link w:val="HeaderChar"/>
    <w:uiPriority w:val="99"/>
    <w:semiHidden/>
    <w:unhideWhenUsed/>
    <w:rsid w:val="008C723C"/>
    <w:pPr>
      <w:tabs>
        <w:tab w:val="center" w:pos="4680"/>
        <w:tab w:val="right" w:pos="9360"/>
      </w:tabs>
    </w:pPr>
    <w:rPr>
      <w:lang w:val="x-none" w:eastAsia="x-none"/>
    </w:rPr>
  </w:style>
  <w:style w:type="character" w:customStyle="1" w:styleId="HeaderChar">
    <w:name w:val="Header Char"/>
    <w:link w:val="Header"/>
    <w:uiPriority w:val="99"/>
    <w:semiHidden/>
    <w:rsid w:val="008C723C"/>
    <w:rPr>
      <w:rFonts w:ascii="Times New Roman" w:eastAsia="Times New Roman" w:hAnsi="Times New Roman"/>
      <w:snapToGrid w:val="0"/>
      <w:sz w:val="24"/>
    </w:rPr>
  </w:style>
  <w:style w:type="paragraph" w:styleId="Footer">
    <w:name w:val="footer"/>
    <w:basedOn w:val="Normal"/>
    <w:link w:val="FooterChar"/>
    <w:uiPriority w:val="99"/>
    <w:unhideWhenUsed/>
    <w:rsid w:val="008C723C"/>
    <w:pPr>
      <w:tabs>
        <w:tab w:val="center" w:pos="4680"/>
        <w:tab w:val="right" w:pos="9360"/>
      </w:tabs>
    </w:pPr>
    <w:rPr>
      <w:lang w:val="x-none" w:eastAsia="x-none"/>
    </w:rPr>
  </w:style>
  <w:style w:type="character" w:customStyle="1" w:styleId="FooterChar">
    <w:name w:val="Footer Char"/>
    <w:link w:val="Footer"/>
    <w:uiPriority w:val="99"/>
    <w:rsid w:val="008C723C"/>
    <w:rPr>
      <w:rFonts w:ascii="Times New Roman" w:eastAsia="Times New Roman" w:hAnsi="Times New Roman"/>
      <w:snapToGrid w:val="0"/>
      <w:sz w:val="24"/>
    </w:rPr>
  </w:style>
  <w:style w:type="character" w:customStyle="1" w:styleId="Heading1Char">
    <w:name w:val="Heading 1 Char"/>
    <w:link w:val="Heading1"/>
    <w:uiPriority w:val="9"/>
    <w:rsid w:val="002D6E20"/>
    <w:rPr>
      <w:rFonts w:ascii="Times New Roman" w:eastAsia="Times New Roman" w:hAnsi="Times New Roman"/>
      <w:b/>
      <w:bCs/>
      <w:kern w:val="36"/>
      <w:sz w:val="48"/>
      <w:szCs w:val="48"/>
    </w:rPr>
  </w:style>
  <w:style w:type="paragraph" w:styleId="NormalWeb">
    <w:name w:val="Normal (Web)"/>
    <w:basedOn w:val="Normal"/>
    <w:uiPriority w:val="99"/>
    <w:unhideWhenUsed/>
    <w:rsid w:val="002D6E20"/>
    <w:pPr>
      <w:widowControl/>
      <w:spacing w:before="100" w:beforeAutospacing="1" w:after="100" w:afterAutospacing="1"/>
    </w:pPr>
    <w:rPr>
      <w:snapToGrid/>
      <w:szCs w:val="24"/>
    </w:rPr>
  </w:style>
  <w:style w:type="character" w:customStyle="1" w:styleId="pmterms1">
    <w:name w:val="pmterms1"/>
    <w:rsid w:val="00165ADC"/>
  </w:style>
  <w:style w:type="character" w:styleId="Strong">
    <w:name w:val="Strong"/>
    <w:basedOn w:val="DefaultParagraphFont"/>
    <w:uiPriority w:val="22"/>
    <w:qFormat/>
    <w:rsid w:val="00CB1B75"/>
    <w:rPr>
      <w:b/>
      <w:bCs/>
    </w:rPr>
  </w:style>
  <w:style w:type="paragraph" w:styleId="BalloonText">
    <w:name w:val="Balloon Text"/>
    <w:basedOn w:val="Normal"/>
    <w:link w:val="BalloonTextChar"/>
    <w:uiPriority w:val="99"/>
    <w:semiHidden/>
    <w:unhideWhenUsed/>
    <w:rsid w:val="0041443A"/>
    <w:rPr>
      <w:rFonts w:ascii="Tahoma" w:hAnsi="Tahoma" w:cs="Tahoma"/>
      <w:sz w:val="16"/>
      <w:szCs w:val="16"/>
    </w:rPr>
  </w:style>
  <w:style w:type="character" w:customStyle="1" w:styleId="BalloonTextChar">
    <w:name w:val="Balloon Text Char"/>
    <w:basedOn w:val="DefaultParagraphFont"/>
    <w:link w:val="BalloonText"/>
    <w:uiPriority w:val="99"/>
    <w:semiHidden/>
    <w:rsid w:val="0041443A"/>
    <w:rPr>
      <w:rFonts w:ascii="Tahoma" w:eastAsia="Times New Roman" w:hAnsi="Tahoma" w:cs="Tahoma"/>
      <w:snapToGrid w:val="0"/>
      <w:sz w:val="16"/>
      <w:szCs w:val="16"/>
    </w:rPr>
  </w:style>
  <w:style w:type="character" w:customStyle="1" w:styleId="pmterms3">
    <w:name w:val="pmterms3"/>
    <w:basedOn w:val="DefaultParagraphFont"/>
    <w:rsid w:val="00725D3C"/>
  </w:style>
  <w:style w:type="paragraph" w:customStyle="1" w:styleId="floatimgcaption">
    <w:name w:val="float_img_caption"/>
    <w:basedOn w:val="Normal"/>
    <w:rsid w:val="000303F9"/>
    <w:pPr>
      <w:widowControl/>
      <w:spacing w:before="100" w:beforeAutospacing="1" w:after="100" w:afterAutospacing="1"/>
    </w:pPr>
    <w:rPr>
      <w:snapToGrid/>
      <w:szCs w:val="24"/>
    </w:rPr>
  </w:style>
  <w:style w:type="character" w:customStyle="1" w:styleId="Heading3Char">
    <w:name w:val="Heading 3 Char"/>
    <w:basedOn w:val="DefaultParagraphFont"/>
    <w:link w:val="Heading3"/>
    <w:uiPriority w:val="9"/>
    <w:semiHidden/>
    <w:rsid w:val="006C7884"/>
    <w:rPr>
      <w:rFonts w:asciiTheme="majorHAnsi" w:eastAsiaTheme="majorEastAsia" w:hAnsiTheme="majorHAnsi" w:cstheme="majorBidi"/>
      <w:b/>
      <w:bCs/>
      <w:snapToGrid w:val="0"/>
      <w:color w:val="4F81BD" w:themeColor="accent1"/>
      <w:sz w:val="24"/>
    </w:rPr>
  </w:style>
  <w:style w:type="character" w:styleId="FollowedHyperlink">
    <w:name w:val="FollowedHyperlink"/>
    <w:basedOn w:val="DefaultParagraphFont"/>
    <w:uiPriority w:val="99"/>
    <w:semiHidden/>
    <w:unhideWhenUsed/>
    <w:rsid w:val="00EF5115"/>
    <w:rPr>
      <w:color w:val="800080" w:themeColor="followedHyperlink"/>
      <w:u w:val="single"/>
    </w:rPr>
  </w:style>
  <w:style w:type="paragraph" w:customStyle="1" w:styleId="dateline">
    <w:name w:val="dateline"/>
    <w:basedOn w:val="Normal"/>
    <w:rsid w:val="00EF2CEF"/>
    <w:pPr>
      <w:widowControl/>
      <w:spacing w:before="100" w:beforeAutospacing="1" w:after="100" w:afterAutospacing="1"/>
    </w:pPr>
    <w:rPr>
      <w:snapToGrid/>
      <w:szCs w:val="24"/>
    </w:rPr>
  </w:style>
  <w:style w:type="paragraph" w:customStyle="1" w:styleId="byline">
    <w:name w:val="byline"/>
    <w:basedOn w:val="Normal"/>
    <w:rsid w:val="00EF2CEF"/>
    <w:pPr>
      <w:widowControl/>
      <w:spacing w:before="100" w:beforeAutospacing="1" w:after="100" w:afterAutospacing="1"/>
    </w:pPr>
    <w:rPr>
      <w:snapToGrid/>
      <w:szCs w:val="24"/>
    </w:rPr>
  </w:style>
  <w:style w:type="paragraph" w:customStyle="1" w:styleId="storyimagecaption">
    <w:name w:val="story_image_caption"/>
    <w:basedOn w:val="Normal"/>
    <w:rsid w:val="00EF2CEF"/>
    <w:pPr>
      <w:widowControl/>
      <w:spacing w:before="100" w:beforeAutospacing="1" w:after="100" w:afterAutospacing="1"/>
    </w:pPr>
    <w:rPr>
      <w:snapToGrid/>
      <w:szCs w:val="24"/>
    </w:rPr>
  </w:style>
  <w:style w:type="character" w:customStyle="1" w:styleId="ssleftalign">
    <w:name w:val="ss_leftalign"/>
    <w:basedOn w:val="DefaultParagraphFont"/>
    <w:rsid w:val="004C3C6A"/>
  </w:style>
  <w:style w:type="character" w:customStyle="1" w:styleId="ssit">
    <w:name w:val="ss_it"/>
    <w:basedOn w:val="DefaultParagraphFont"/>
    <w:rsid w:val="002F0CBF"/>
  </w:style>
  <w:style w:type="character" w:customStyle="1" w:styleId="sssh">
    <w:name w:val="ss_sh"/>
    <w:basedOn w:val="DefaultParagraphFont"/>
    <w:rsid w:val="002F0CBF"/>
  </w:style>
  <w:style w:type="character" w:customStyle="1" w:styleId="sspagshow">
    <w:name w:val="ss_pag_show"/>
    <w:basedOn w:val="DefaultParagraphFont"/>
    <w:rsid w:val="002F0CBF"/>
  </w:style>
  <w:style w:type="character" w:customStyle="1" w:styleId="ssrfcpassagedeactivated">
    <w:name w:val="ss_rfcpassage_deactivated"/>
    <w:basedOn w:val="DefaultParagraphFont"/>
    <w:rsid w:val="009B24BA"/>
  </w:style>
  <w:style w:type="character" w:customStyle="1" w:styleId="ssib">
    <w:name w:val="ss_ib"/>
    <w:basedOn w:val="DefaultParagraphFont"/>
    <w:rsid w:val="009B2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778">
      <w:bodyDiv w:val="1"/>
      <w:marLeft w:val="0"/>
      <w:marRight w:val="0"/>
      <w:marTop w:val="0"/>
      <w:marBottom w:val="0"/>
      <w:divBdr>
        <w:top w:val="none" w:sz="0" w:space="0" w:color="auto"/>
        <w:left w:val="none" w:sz="0" w:space="0" w:color="auto"/>
        <w:bottom w:val="none" w:sz="0" w:space="0" w:color="auto"/>
        <w:right w:val="none" w:sz="0" w:space="0" w:color="auto"/>
      </w:divBdr>
      <w:divsChild>
        <w:div w:id="358894804">
          <w:marLeft w:val="0"/>
          <w:marRight w:val="0"/>
          <w:marTop w:val="0"/>
          <w:marBottom w:val="0"/>
          <w:divBdr>
            <w:top w:val="none" w:sz="0" w:space="0" w:color="auto"/>
            <w:left w:val="none" w:sz="0" w:space="0" w:color="auto"/>
            <w:bottom w:val="none" w:sz="0" w:space="0" w:color="auto"/>
            <w:right w:val="none" w:sz="0" w:space="0" w:color="auto"/>
          </w:divBdr>
        </w:div>
      </w:divsChild>
    </w:div>
    <w:div w:id="266737746">
      <w:bodyDiv w:val="1"/>
      <w:marLeft w:val="0"/>
      <w:marRight w:val="0"/>
      <w:marTop w:val="0"/>
      <w:marBottom w:val="0"/>
      <w:divBdr>
        <w:top w:val="none" w:sz="0" w:space="0" w:color="auto"/>
        <w:left w:val="none" w:sz="0" w:space="0" w:color="auto"/>
        <w:bottom w:val="none" w:sz="0" w:space="0" w:color="auto"/>
        <w:right w:val="none" w:sz="0" w:space="0" w:color="auto"/>
      </w:divBdr>
      <w:divsChild>
        <w:div w:id="41253144">
          <w:marLeft w:val="0"/>
          <w:marRight w:val="0"/>
          <w:marTop w:val="0"/>
          <w:marBottom w:val="0"/>
          <w:divBdr>
            <w:top w:val="none" w:sz="0" w:space="0" w:color="auto"/>
            <w:left w:val="none" w:sz="0" w:space="0" w:color="auto"/>
            <w:bottom w:val="none" w:sz="0" w:space="0" w:color="auto"/>
            <w:right w:val="none" w:sz="0" w:space="0" w:color="auto"/>
          </w:divBdr>
        </w:div>
        <w:div w:id="1575164450">
          <w:marLeft w:val="0"/>
          <w:marRight w:val="0"/>
          <w:marTop w:val="0"/>
          <w:marBottom w:val="0"/>
          <w:divBdr>
            <w:top w:val="none" w:sz="0" w:space="0" w:color="auto"/>
            <w:left w:val="none" w:sz="0" w:space="0" w:color="auto"/>
            <w:bottom w:val="none" w:sz="0" w:space="0" w:color="auto"/>
            <w:right w:val="none" w:sz="0" w:space="0" w:color="auto"/>
          </w:divBdr>
        </w:div>
        <w:div w:id="1579755316">
          <w:marLeft w:val="0"/>
          <w:marRight w:val="0"/>
          <w:marTop w:val="0"/>
          <w:marBottom w:val="0"/>
          <w:divBdr>
            <w:top w:val="none" w:sz="0" w:space="0" w:color="auto"/>
            <w:left w:val="none" w:sz="0" w:space="0" w:color="auto"/>
            <w:bottom w:val="none" w:sz="0" w:space="0" w:color="auto"/>
            <w:right w:val="none" w:sz="0" w:space="0" w:color="auto"/>
          </w:divBdr>
        </w:div>
      </w:divsChild>
    </w:div>
    <w:div w:id="330328826">
      <w:bodyDiv w:val="1"/>
      <w:marLeft w:val="0"/>
      <w:marRight w:val="0"/>
      <w:marTop w:val="0"/>
      <w:marBottom w:val="0"/>
      <w:divBdr>
        <w:top w:val="none" w:sz="0" w:space="0" w:color="auto"/>
        <w:left w:val="none" w:sz="0" w:space="0" w:color="auto"/>
        <w:bottom w:val="none" w:sz="0" w:space="0" w:color="auto"/>
        <w:right w:val="none" w:sz="0" w:space="0" w:color="auto"/>
      </w:divBdr>
    </w:div>
    <w:div w:id="402720855">
      <w:bodyDiv w:val="1"/>
      <w:marLeft w:val="0"/>
      <w:marRight w:val="0"/>
      <w:marTop w:val="0"/>
      <w:marBottom w:val="0"/>
      <w:divBdr>
        <w:top w:val="none" w:sz="0" w:space="0" w:color="auto"/>
        <w:left w:val="none" w:sz="0" w:space="0" w:color="auto"/>
        <w:bottom w:val="none" w:sz="0" w:space="0" w:color="auto"/>
        <w:right w:val="none" w:sz="0" w:space="0" w:color="auto"/>
      </w:divBdr>
    </w:div>
    <w:div w:id="453672801">
      <w:bodyDiv w:val="1"/>
      <w:marLeft w:val="0"/>
      <w:marRight w:val="0"/>
      <w:marTop w:val="0"/>
      <w:marBottom w:val="0"/>
      <w:divBdr>
        <w:top w:val="none" w:sz="0" w:space="0" w:color="auto"/>
        <w:left w:val="none" w:sz="0" w:space="0" w:color="auto"/>
        <w:bottom w:val="none" w:sz="0" w:space="0" w:color="auto"/>
        <w:right w:val="none" w:sz="0" w:space="0" w:color="auto"/>
      </w:divBdr>
    </w:div>
    <w:div w:id="485631885">
      <w:bodyDiv w:val="1"/>
      <w:marLeft w:val="0"/>
      <w:marRight w:val="0"/>
      <w:marTop w:val="0"/>
      <w:marBottom w:val="0"/>
      <w:divBdr>
        <w:top w:val="none" w:sz="0" w:space="0" w:color="auto"/>
        <w:left w:val="none" w:sz="0" w:space="0" w:color="auto"/>
        <w:bottom w:val="none" w:sz="0" w:space="0" w:color="auto"/>
        <w:right w:val="none" w:sz="0" w:space="0" w:color="auto"/>
      </w:divBdr>
      <w:divsChild>
        <w:div w:id="660738718">
          <w:marLeft w:val="0"/>
          <w:marRight w:val="0"/>
          <w:marTop w:val="0"/>
          <w:marBottom w:val="0"/>
          <w:divBdr>
            <w:top w:val="none" w:sz="0" w:space="0" w:color="auto"/>
            <w:left w:val="none" w:sz="0" w:space="0" w:color="auto"/>
            <w:bottom w:val="none" w:sz="0" w:space="0" w:color="auto"/>
            <w:right w:val="none" w:sz="0" w:space="0" w:color="auto"/>
          </w:divBdr>
        </w:div>
        <w:div w:id="1249849091">
          <w:marLeft w:val="0"/>
          <w:marRight w:val="0"/>
          <w:marTop w:val="0"/>
          <w:marBottom w:val="0"/>
          <w:divBdr>
            <w:top w:val="none" w:sz="0" w:space="0" w:color="auto"/>
            <w:left w:val="none" w:sz="0" w:space="0" w:color="auto"/>
            <w:bottom w:val="none" w:sz="0" w:space="0" w:color="auto"/>
            <w:right w:val="none" w:sz="0" w:space="0" w:color="auto"/>
          </w:divBdr>
        </w:div>
        <w:div w:id="786121909">
          <w:marLeft w:val="0"/>
          <w:marRight w:val="0"/>
          <w:marTop w:val="0"/>
          <w:marBottom w:val="0"/>
          <w:divBdr>
            <w:top w:val="none" w:sz="0" w:space="0" w:color="auto"/>
            <w:left w:val="none" w:sz="0" w:space="0" w:color="auto"/>
            <w:bottom w:val="none" w:sz="0" w:space="0" w:color="auto"/>
            <w:right w:val="none" w:sz="0" w:space="0" w:color="auto"/>
          </w:divBdr>
        </w:div>
        <w:div w:id="2090079309">
          <w:marLeft w:val="0"/>
          <w:marRight w:val="0"/>
          <w:marTop w:val="0"/>
          <w:marBottom w:val="0"/>
          <w:divBdr>
            <w:top w:val="none" w:sz="0" w:space="0" w:color="auto"/>
            <w:left w:val="none" w:sz="0" w:space="0" w:color="auto"/>
            <w:bottom w:val="none" w:sz="0" w:space="0" w:color="auto"/>
            <w:right w:val="none" w:sz="0" w:space="0" w:color="auto"/>
          </w:divBdr>
        </w:div>
        <w:div w:id="1695768578">
          <w:marLeft w:val="0"/>
          <w:marRight w:val="0"/>
          <w:marTop w:val="0"/>
          <w:marBottom w:val="0"/>
          <w:divBdr>
            <w:top w:val="none" w:sz="0" w:space="0" w:color="auto"/>
            <w:left w:val="none" w:sz="0" w:space="0" w:color="auto"/>
            <w:bottom w:val="none" w:sz="0" w:space="0" w:color="auto"/>
            <w:right w:val="none" w:sz="0" w:space="0" w:color="auto"/>
          </w:divBdr>
        </w:div>
        <w:div w:id="1646427038">
          <w:marLeft w:val="0"/>
          <w:marRight w:val="0"/>
          <w:marTop w:val="0"/>
          <w:marBottom w:val="0"/>
          <w:divBdr>
            <w:top w:val="none" w:sz="0" w:space="0" w:color="auto"/>
            <w:left w:val="none" w:sz="0" w:space="0" w:color="auto"/>
            <w:bottom w:val="none" w:sz="0" w:space="0" w:color="auto"/>
            <w:right w:val="none" w:sz="0" w:space="0" w:color="auto"/>
          </w:divBdr>
        </w:div>
        <w:div w:id="334840040">
          <w:marLeft w:val="0"/>
          <w:marRight w:val="0"/>
          <w:marTop w:val="0"/>
          <w:marBottom w:val="0"/>
          <w:divBdr>
            <w:top w:val="none" w:sz="0" w:space="0" w:color="auto"/>
            <w:left w:val="none" w:sz="0" w:space="0" w:color="auto"/>
            <w:bottom w:val="none" w:sz="0" w:space="0" w:color="auto"/>
            <w:right w:val="none" w:sz="0" w:space="0" w:color="auto"/>
          </w:divBdr>
        </w:div>
        <w:div w:id="651833839">
          <w:marLeft w:val="0"/>
          <w:marRight w:val="0"/>
          <w:marTop w:val="0"/>
          <w:marBottom w:val="0"/>
          <w:divBdr>
            <w:top w:val="none" w:sz="0" w:space="0" w:color="auto"/>
            <w:left w:val="none" w:sz="0" w:space="0" w:color="auto"/>
            <w:bottom w:val="none" w:sz="0" w:space="0" w:color="auto"/>
            <w:right w:val="none" w:sz="0" w:space="0" w:color="auto"/>
          </w:divBdr>
        </w:div>
        <w:div w:id="1025717966">
          <w:marLeft w:val="0"/>
          <w:marRight w:val="0"/>
          <w:marTop w:val="0"/>
          <w:marBottom w:val="0"/>
          <w:divBdr>
            <w:top w:val="none" w:sz="0" w:space="0" w:color="auto"/>
            <w:left w:val="none" w:sz="0" w:space="0" w:color="auto"/>
            <w:bottom w:val="none" w:sz="0" w:space="0" w:color="auto"/>
            <w:right w:val="none" w:sz="0" w:space="0" w:color="auto"/>
          </w:divBdr>
        </w:div>
        <w:div w:id="616791528">
          <w:marLeft w:val="0"/>
          <w:marRight w:val="0"/>
          <w:marTop w:val="0"/>
          <w:marBottom w:val="0"/>
          <w:divBdr>
            <w:top w:val="none" w:sz="0" w:space="0" w:color="auto"/>
            <w:left w:val="none" w:sz="0" w:space="0" w:color="auto"/>
            <w:bottom w:val="none" w:sz="0" w:space="0" w:color="auto"/>
            <w:right w:val="none" w:sz="0" w:space="0" w:color="auto"/>
          </w:divBdr>
        </w:div>
        <w:div w:id="1610426404">
          <w:marLeft w:val="0"/>
          <w:marRight w:val="0"/>
          <w:marTop w:val="0"/>
          <w:marBottom w:val="0"/>
          <w:divBdr>
            <w:top w:val="none" w:sz="0" w:space="0" w:color="auto"/>
            <w:left w:val="none" w:sz="0" w:space="0" w:color="auto"/>
            <w:bottom w:val="none" w:sz="0" w:space="0" w:color="auto"/>
            <w:right w:val="none" w:sz="0" w:space="0" w:color="auto"/>
          </w:divBdr>
        </w:div>
        <w:div w:id="240912193">
          <w:marLeft w:val="0"/>
          <w:marRight w:val="0"/>
          <w:marTop w:val="0"/>
          <w:marBottom w:val="0"/>
          <w:divBdr>
            <w:top w:val="none" w:sz="0" w:space="0" w:color="auto"/>
            <w:left w:val="none" w:sz="0" w:space="0" w:color="auto"/>
            <w:bottom w:val="none" w:sz="0" w:space="0" w:color="auto"/>
            <w:right w:val="none" w:sz="0" w:space="0" w:color="auto"/>
          </w:divBdr>
        </w:div>
        <w:div w:id="1318270469">
          <w:marLeft w:val="0"/>
          <w:marRight w:val="0"/>
          <w:marTop w:val="0"/>
          <w:marBottom w:val="0"/>
          <w:divBdr>
            <w:top w:val="none" w:sz="0" w:space="0" w:color="auto"/>
            <w:left w:val="none" w:sz="0" w:space="0" w:color="auto"/>
            <w:bottom w:val="none" w:sz="0" w:space="0" w:color="auto"/>
            <w:right w:val="none" w:sz="0" w:space="0" w:color="auto"/>
          </w:divBdr>
        </w:div>
        <w:div w:id="1781099677">
          <w:marLeft w:val="0"/>
          <w:marRight w:val="0"/>
          <w:marTop w:val="0"/>
          <w:marBottom w:val="0"/>
          <w:divBdr>
            <w:top w:val="none" w:sz="0" w:space="0" w:color="auto"/>
            <w:left w:val="none" w:sz="0" w:space="0" w:color="auto"/>
            <w:bottom w:val="none" w:sz="0" w:space="0" w:color="auto"/>
            <w:right w:val="none" w:sz="0" w:space="0" w:color="auto"/>
          </w:divBdr>
        </w:div>
        <w:div w:id="1540170377">
          <w:marLeft w:val="0"/>
          <w:marRight w:val="0"/>
          <w:marTop w:val="0"/>
          <w:marBottom w:val="0"/>
          <w:divBdr>
            <w:top w:val="none" w:sz="0" w:space="0" w:color="auto"/>
            <w:left w:val="none" w:sz="0" w:space="0" w:color="auto"/>
            <w:bottom w:val="none" w:sz="0" w:space="0" w:color="auto"/>
            <w:right w:val="none" w:sz="0" w:space="0" w:color="auto"/>
          </w:divBdr>
        </w:div>
        <w:div w:id="2136020441">
          <w:marLeft w:val="0"/>
          <w:marRight w:val="0"/>
          <w:marTop w:val="0"/>
          <w:marBottom w:val="0"/>
          <w:divBdr>
            <w:top w:val="none" w:sz="0" w:space="0" w:color="auto"/>
            <w:left w:val="none" w:sz="0" w:space="0" w:color="auto"/>
            <w:bottom w:val="none" w:sz="0" w:space="0" w:color="auto"/>
            <w:right w:val="none" w:sz="0" w:space="0" w:color="auto"/>
          </w:divBdr>
        </w:div>
        <w:div w:id="908734829">
          <w:marLeft w:val="0"/>
          <w:marRight w:val="0"/>
          <w:marTop w:val="0"/>
          <w:marBottom w:val="0"/>
          <w:divBdr>
            <w:top w:val="none" w:sz="0" w:space="0" w:color="auto"/>
            <w:left w:val="none" w:sz="0" w:space="0" w:color="auto"/>
            <w:bottom w:val="none" w:sz="0" w:space="0" w:color="auto"/>
            <w:right w:val="none" w:sz="0" w:space="0" w:color="auto"/>
          </w:divBdr>
        </w:div>
        <w:div w:id="850334014">
          <w:marLeft w:val="0"/>
          <w:marRight w:val="0"/>
          <w:marTop w:val="0"/>
          <w:marBottom w:val="0"/>
          <w:divBdr>
            <w:top w:val="none" w:sz="0" w:space="0" w:color="auto"/>
            <w:left w:val="none" w:sz="0" w:space="0" w:color="auto"/>
            <w:bottom w:val="none" w:sz="0" w:space="0" w:color="auto"/>
            <w:right w:val="none" w:sz="0" w:space="0" w:color="auto"/>
          </w:divBdr>
        </w:div>
        <w:div w:id="2069113595">
          <w:marLeft w:val="0"/>
          <w:marRight w:val="0"/>
          <w:marTop w:val="0"/>
          <w:marBottom w:val="0"/>
          <w:divBdr>
            <w:top w:val="none" w:sz="0" w:space="0" w:color="auto"/>
            <w:left w:val="none" w:sz="0" w:space="0" w:color="auto"/>
            <w:bottom w:val="none" w:sz="0" w:space="0" w:color="auto"/>
            <w:right w:val="none" w:sz="0" w:space="0" w:color="auto"/>
          </w:divBdr>
        </w:div>
        <w:div w:id="8216547">
          <w:marLeft w:val="0"/>
          <w:marRight w:val="0"/>
          <w:marTop w:val="0"/>
          <w:marBottom w:val="0"/>
          <w:divBdr>
            <w:top w:val="none" w:sz="0" w:space="0" w:color="auto"/>
            <w:left w:val="none" w:sz="0" w:space="0" w:color="auto"/>
            <w:bottom w:val="none" w:sz="0" w:space="0" w:color="auto"/>
            <w:right w:val="none" w:sz="0" w:space="0" w:color="auto"/>
          </w:divBdr>
        </w:div>
        <w:div w:id="656492912">
          <w:marLeft w:val="0"/>
          <w:marRight w:val="0"/>
          <w:marTop w:val="0"/>
          <w:marBottom w:val="0"/>
          <w:divBdr>
            <w:top w:val="none" w:sz="0" w:space="0" w:color="auto"/>
            <w:left w:val="none" w:sz="0" w:space="0" w:color="auto"/>
            <w:bottom w:val="none" w:sz="0" w:space="0" w:color="auto"/>
            <w:right w:val="none" w:sz="0" w:space="0" w:color="auto"/>
          </w:divBdr>
        </w:div>
        <w:div w:id="2062440743">
          <w:marLeft w:val="0"/>
          <w:marRight w:val="0"/>
          <w:marTop w:val="0"/>
          <w:marBottom w:val="0"/>
          <w:divBdr>
            <w:top w:val="none" w:sz="0" w:space="0" w:color="auto"/>
            <w:left w:val="none" w:sz="0" w:space="0" w:color="auto"/>
            <w:bottom w:val="none" w:sz="0" w:space="0" w:color="auto"/>
            <w:right w:val="none" w:sz="0" w:space="0" w:color="auto"/>
          </w:divBdr>
        </w:div>
        <w:div w:id="1098670552">
          <w:marLeft w:val="0"/>
          <w:marRight w:val="0"/>
          <w:marTop w:val="0"/>
          <w:marBottom w:val="0"/>
          <w:divBdr>
            <w:top w:val="none" w:sz="0" w:space="0" w:color="auto"/>
            <w:left w:val="none" w:sz="0" w:space="0" w:color="auto"/>
            <w:bottom w:val="none" w:sz="0" w:space="0" w:color="auto"/>
            <w:right w:val="none" w:sz="0" w:space="0" w:color="auto"/>
          </w:divBdr>
        </w:div>
        <w:div w:id="943850262">
          <w:marLeft w:val="0"/>
          <w:marRight w:val="0"/>
          <w:marTop w:val="0"/>
          <w:marBottom w:val="0"/>
          <w:divBdr>
            <w:top w:val="none" w:sz="0" w:space="0" w:color="auto"/>
            <w:left w:val="none" w:sz="0" w:space="0" w:color="auto"/>
            <w:bottom w:val="none" w:sz="0" w:space="0" w:color="auto"/>
            <w:right w:val="none" w:sz="0" w:space="0" w:color="auto"/>
          </w:divBdr>
        </w:div>
        <w:div w:id="1511481388">
          <w:marLeft w:val="0"/>
          <w:marRight w:val="0"/>
          <w:marTop w:val="0"/>
          <w:marBottom w:val="0"/>
          <w:divBdr>
            <w:top w:val="none" w:sz="0" w:space="0" w:color="auto"/>
            <w:left w:val="none" w:sz="0" w:space="0" w:color="auto"/>
            <w:bottom w:val="none" w:sz="0" w:space="0" w:color="auto"/>
            <w:right w:val="none" w:sz="0" w:space="0" w:color="auto"/>
          </w:divBdr>
        </w:div>
        <w:div w:id="608665364">
          <w:marLeft w:val="0"/>
          <w:marRight w:val="0"/>
          <w:marTop w:val="0"/>
          <w:marBottom w:val="0"/>
          <w:divBdr>
            <w:top w:val="none" w:sz="0" w:space="0" w:color="auto"/>
            <w:left w:val="none" w:sz="0" w:space="0" w:color="auto"/>
            <w:bottom w:val="none" w:sz="0" w:space="0" w:color="auto"/>
            <w:right w:val="none" w:sz="0" w:space="0" w:color="auto"/>
          </w:divBdr>
        </w:div>
        <w:div w:id="1481995618">
          <w:marLeft w:val="0"/>
          <w:marRight w:val="0"/>
          <w:marTop w:val="0"/>
          <w:marBottom w:val="0"/>
          <w:divBdr>
            <w:top w:val="none" w:sz="0" w:space="0" w:color="auto"/>
            <w:left w:val="none" w:sz="0" w:space="0" w:color="auto"/>
            <w:bottom w:val="none" w:sz="0" w:space="0" w:color="auto"/>
            <w:right w:val="none" w:sz="0" w:space="0" w:color="auto"/>
          </w:divBdr>
        </w:div>
        <w:div w:id="1474634450">
          <w:marLeft w:val="0"/>
          <w:marRight w:val="0"/>
          <w:marTop w:val="0"/>
          <w:marBottom w:val="0"/>
          <w:divBdr>
            <w:top w:val="none" w:sz="0" w:space="0" w:color="auto"/>
            <w:left w:val="none" w:sz="0" w:space="0" w:color="auto"/>
            <w:bottom w:val="none" w:sz="0" w:space="0" w:color="auto"/>
            <w:right w:val="none" w:sz="0" w:space="0" w:color="auto"/>
          </w:divBdr>
        </w:div>
        <w:div w:id="1980986911">
          <w:marLeft w:val="0"/>
          <w:marRight w:val="0"/>
          <w:marTop w:val="0"/>
          <w:marBottom w:val="0"/>
          <w:divBdr>
            <w:top w:val="none" w:sz="0" w:space="0" w:color="auto"/>
            <w:left w:val="none" w:sz="0" w:space="0" w:color="auto"/>
            <w:bottom w:val="none" w:sz="0" w:space="0" w:color="auto"/>
            <w:right w:val="none" w:sz="0" w:space="0" w:color="auto"/>
          </w:divBdr>
        </w:div>
        <w:div w:id="852914588">
          <w:marLeft w:val="0"/>
          <w:marRight w:val="0"/>
          <w:marTop w:val="0"/>
          <w:marBottom w:val="0"/>
          <w:divBdr>
            <w:top w:val="none" w:sz="0" w:space="0" w:color="auto"/>
            <w:left w:val="none" w:sz="0" w:space="0" w:color="auto"/>
            <w:bottom w:val="none" w:sz="0" w:space="0" w:color="auto"/>
            <w:right w:val="none" w:sz="0" w:space="0" w:color="auto"/>
          </w:divBdr>
        </w:div>
      </w:divsChild>
    </w:div>
    <w:div w:id="509026245">
      <w:bodyDiv w:val="1"/>
      <w:marLeft w:val="0"/>
      <w:marRight w:val="0"/>
      <w:marTop w:val="0"/>
      <w:marBottom w:val="0"/>
      <w:divBdr>
        <w:top w:val="none" w:sz="0" w:space="0" w:color="auto"/>
        <w:left w:val="none" w:sz="0" w:space="0" w:color="auto"/>
        <w:bottom w:val="none" w:sz="0" w:space="0" w:color="auto"/>
        <w:right w:val="none" w:sz="0" w:space="0" w:color="auto"/>
      </w:divBdr>
    </w:div>
    <w:div w:id="601111255">
      <w:bodyDiv w:val="1"/>
      <w:marLeft w:val="0"/>
      <w:marRight w:val="0"/>
      <w:marTop w:val="0"/>
      <w:marBottom w:val="0"/>
      <w:divBdr>
        <w:top w:val="none" w:sz="0" w:space="0" w:color="auto"/>
        <w:left w:val="none" w:sz="0" w:space="0" w:color="auto"/>
        <w:bottom w:val="none" w:sz="0" w:space="0" w:color="auto"/>
        <w:right w:val="none" w:sz="0" w:space="0" w:color="auto"/>
      </w:divBdr>
    </w:div>
    <w:div w:id="761224417">
      <w:bodyDiv w:val="1"/>
      <w:marLeft w:val="0"/>
      <w:marRight w:val="0"/>
      <w:marTop w:val="0"/>
      <w:marBottom w:val="0"/>
      <w:divBdr>
        <w:top w:val="none" w:sz="0" w:space="0" w:color="auto"/>
        <w:left w:val="none" w:sz="0" w:space="0" w:color="auto"/>
        <w:bottom w:val="none" w:sz="0" w:space="0" w:color="auto"/>
        <w:right w:val="none" w:sz="0" w:space="0" w:color="auto"/>
      </w:divBdr>
    </w:div>
    <w:div w:id="776214397">
      <w:bodyDiv w:val="1"/>
      <w:marLeft w:val="0"/>
      <w:marRight w:val="0"/>
      <w:marTop w:val="0"/>
      <w:marBottom w:val="0"/>
      <w:divBdr>
        <w:top w:val="none" w:sz="0" w:space="0" w:color="auto"/>
        <w:left w:val="none" w:sz="0" w:space="0" w:color="auto"/>
        <w:bottom w:val="none" w:sz="0" w:space="0" w:color="auto"/>
        <w:right w:val="none" w:sz="0" w:space="0" w:color="auto"/>
      </w:divBdr>
    </w:div>
    <w:div w:id="909387553">
      <w:bodyDiv w:val="1"/>
      <w:marLeft w:val="0"/>
      <w:marRight w:val="0"/>
      <w:marTop w:val="0"/>
      <w:marBottom w:val="0"/>
      <w:divBdr>
        <w:top w:val="none" w:sz="0" w:space="0" w:color="auto"/>
        <w:left w:val="none" w:sz="0" w:space="0" w:color="auto"/>
        <w:bottom w:val="none" w:sz="0" w:space="0" w:color="auto"/>
        <w:right w:val="none" w:sz="0" w:space="0" w:color="auto"/>
      </w:divBdr>
    </w:div>
    <w:div w:id="1076973353">
      <w:bodyDiv w:val="1"/>
      <w:marLeft w:val="0"/>
      <w:marRight w:val="0"/>
      <w:marTop w:val="0"/>
      <w:marBottom w:val="0"/>
      <w:divBdr>
        <w:top w:val="none" w:sz="0" w:space="0" w:color="auto"/>
        <w:left w:val="none" w:sz="0" w:space="0" w:color="auto"/>
        <w:bottom w:val="none" w:sz="0" w:space="0" w:color="auto"/>
        <w:right w:val="none" w:sz="0" w:space="0" w:color="auto"/>
      </w:divBdr>
    </w:div>
    <w:div w:id="1145004754">
      <w:bodyDiv w:val="1"/>
      <w:marLeft w:val="0"/>
      <w:marRight w:val="0"/>
      <w:marTop w:val="0"/>
      <w:marBottom w:val="0"/>
      <w:divBdr>
        <w:top w:val="none" w:sz="0" w:space="0" w:color="auto"/>
        <w:left w:val="none" w:sz="0" w:space="0" w:color="auto"/>
        <w:bottom w:val="none" w:sz="0" w:space="0" w:color="auto"/>
        <w:right w:val="none" w:sz="0" w:space="0" w:color="auto"/>
      </w:divBdr>
    </w:div>
    <w:div w:id="1294673847">
      <w:bodyDiv w:val="1"/>
      <w:marLeft w:val="0"/>
      <w:marRight w:val="0"/>
      <w:marTop w:val="0"/>
      <w:marBottom w:val="0"/>
      <w:divBdr>
        <w:top w:val="none" w:sz="0" w:space="0" w:color="auto"/>
        <w:left w:val="none" w:sz="0" w:space="0" w:color="auto"/>
        <w:bottom w:val="none" w:sz="0" w:space="0" w:color="auto"/>
        <w:right w:val="none" w:sz="0" w:space="0" w:color="auto"/>
      </w:divBdr>
      <w:divsChild>
        <w:div w:id="1242182428">
          <w:marLeft w:val="0"/>
          <w:marRight w:val="0"/>
          <w:marTop w:val="0"/>
          <w:marBottom w:val="0"/>
          <w:divBdr>
            <w:top w:val="none" w:sz="0" w:space="0" w:color="auto"/>
            <w:left w:val="none" w:sz="0" w:space="0" w:color="auto"/>
            <w:bottom w:val="none" w:sz="0" w:space="0" w:color="auto"/>
            <w:right w:val="none" w:sz="0" w:space="0" w:color="auto"/>
          </w:divBdr>
        </w:div>
      </w:divsChild>
    </w:div>
    <w:div w:id="1349404406">
      <w:bodyDiv w:val="1"/>
      <w:marLeft w:val="0"/>
      <w:marRight w:val="0"/>
      <w:marTop w:val="0"/>
      <w:marBottom w:val="0"/>
      <w:divBdr>
        <w:top w:val="none" w:sz="0" w:space="0" w:color="auto"/>
        <w:left w:val="none" w:sz="0" w:space="0" w:color="auto"/>
        <w:bottom w:val="none" w:sz="0" w:space="0" w:color="auto"/>
        <w:right w:val="none" w:sz="0" w:space="0" w:color="auto"/>
      </w:divBdr>
    </w:div>
    <w:div w:id="1490899161">
      <w:bodyDiv w:val="1"/>
      <w:marLeft w:val="0"/>
      <w:marRight w:val="0"/>
      <w:marTop w:val="0"/>
      <w:marBottom w:val="0"/>
      <w:divBdr>
        <w:top w:val="none" w:sz="0" w:space="0" w:color="auto"/>
        <w:left w:val="none" w:sz="0" w:space="0" w:color="auto"/>
        <w:bottom w:val="none" w:sz="0" w:space="0" w:color="auto"/>
        <w:right w:val="none" w:sz="0" w:space="0" w:color="auto"/>
      </w:divBdr>
    </w:div>
    <w:div w:id="1500077980">
      <w:bodyDiv w:val="1"/>
      <w:marLeft w:val="0"/>
      <w:marRight w:val="0"/>
      <w:marTop w:val="0"/>
      <w:marBottom w:val="0"/>
      <w:divBdr>
        <w:top w:val="none" w:sz="0" w:space="0" w:color="auto"/>
        <w:left w:val="none" w:sz="0" w:space="0" w:color="auto"/>
        <w:bottom w:val="none" w:sz="0" w:space="0" w:color="auto"/>
        <w:right w:val="none" w:sz="0" w:space="0" w:color="auto"/>
      </w:divBdr>
    </w:div>
    <w:div w:id="1513179737">
      <w:bodyDiv w:val="1"/>
      <w:marLeft w:val="0"/>
      <w:marRight w:val="0"/>
      <w:marTop w:val="0"/>
      <w:marBottom w:val="0"/>
      <w:divBdr>
        <w:top w:val="none" w:sz="0" w:space="0" w:color="auto"/>
        <w:left w:val="none" w:sz="0" w:space="0" w:color="auto"/>
        <w:bottom w:val="none" w:sz="0" w:space="0" w:color="auto"/>
        <w:right w:val="none" w:sz="0" w:space="0" w:color="auto"/>
      </w:divBdr>
    </w:div>
    <w:div w:id="1549536703">
      <w:bodyDiv w:val="1"/>
      <w:marLeft w:val="0"/>
      <w:marRight w:val="0"/>
      <w:marTop w:val="0"/>
      <w:marBottom w:val="0"/>
      <w:divBdr>
        <w:top w:val="none" w:sz="0" w:space="0" w:color="auto"/>
        <w:left w:val="none" w:sz="0" w:space="0" w:color="auto"/>
        <w:bottom w:val="none" w:sz="0" w:space="0" w:color="auto"/>
        <w:right w:val="none" w:sz="0" w:space="0" w:color="auto"/>
      </w:divBdr>
    </w:div>
    <w:div w:id="1574856769">
      <w:bodyDiv w:val="1"/>
      <w:marLeft w:val="0"/>
      <w:marRight w:val="0"/>
      <w:marTop w:val="0"/>
      <w:marBottom w:val="0"/>
      <w:divBdr>
        <w:top w:val="none" w:sz="0" w:space="0" w:color="auto"/>
        <w:left w:val="none" w:sz="0" w:space="0" w:color="auto"/>
        <w:bottom w:val="none" w:sz="0" w:space="0" w:color="auto"/>
        <w:right w:val="none" w:sz="0" w:space="0" w:color="auto"/>
      </w:divBdr>
      <w:divsChild>
        <w:div w:id="1388185676">
          <w:marLeft w:val="0"/>
          <w:marRight w:val="0"/>
          <w:marTop w:val="0"/>
          <w:marBottom w:val="0"/>
          <w:divBdr>
            <w:top w:val="none" w:sz="0" w:space="0" w:color="auto"/>
            <w:left w:val="none" w:sz="0" w:space="0" w:color="auto"/>
            <w:bottom w:val="none" w:sz="0" w:space="0" w:color="auto"/>
            <w:right w:val="none" w:sz="0" w:space="0" w:color="auto"/>
          </w:divBdr>
        </w:div>
        <w:div w:id="1414551244">
          <w:marLeft w:val="0"/>
          <w:marRight w:val="0"/>
          <w:marTop w:val="0"/>
          <w:marBottom w:val="0"/>
          <w:divBdr>
            <w:top w:val="none" w:sz="0" w:space="0" w:color="auto"/>
            <w:left w:val="none" w:sz="0" w:space="0" w:color="auto"/>
            <w:bottom w:val="none" w:sz="0" w:space="0" w:color="auto"/>
            <w:right w:val="none" w:sz="0" w:space="0" w:color="auto"/>
          </w:divBdr>
        </w:div>
        <w:div w:id="766920705">
          <w:marLeft w:val="0"/>
          <w:marRight w:val="0"/>
          <w:marTop w:val="0"/>
          <w:marBottom w:val="0"/>
          <w:divBdr>
            <w:top w:val="none" w:sz="0" w:space="0" w:color="auto"/>
            <w:left w:val="none" w:sz="0" w:space="0" w:color="auto"/>
            <w:bottom w:val="none" w:sz="0" w:space="0" w:color="auto"/>
            <w:right w:val="none" w:sz="0" w:space="0" w:color="auto"/>
          </w:divBdr>
          <w:divsChild>
            <w:div w:id="1339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01924">
      <w:bodyDiv w:val="1"/>
      <w:marLeft w:val="0"/>
      <w:marRight w:val="0"/>
      <w:marTop w:val="0"/>
      <w:marBottom w:val="0"/>
      <w:divBdr>
        <w:top w:val="none" w:sz="0" w:space="0" w:color="auto"/>
        <w:left w:val="none" w:sz="0" w:space="0" w:color="auto"/>
        <w:bottom w:val="none" w:sz="0" w:space="0" w:color="auto"/>
        <w:right w:val="none" w:sz="0" w:space="0" w:color="auto"/>
      </w:divBdr>
    </w:div>
    <w:div w:id="1659378572">
      <w:bodyDiv w:val="1"/>
      <w:marLeft w:val="0"/>
      <w:marRight w:val="0"/>
      <w:marTop w:val="0"/>
      <w:marBottom w:val="0"/>
      <w:divBdr>
        <w:top w:val="none" w:sz="0" w:space="0" w:color="auto"/>
        <w:left w:val="none" w:sz="0" w:space="0" w:color="auto"/>
        <w:bottom w:val="none" w:sz="0" w:space="0" w:color="auto"/>
        <w:right w:val="none" w:sz="0" w:space="0" w:color="auto"/>
      </w:divBdr>
    </w:div>
    <w:div w:id="1780100719">
      <w:bodyDiv w:val="1"/>
      <w:marLeft w:val="0"/>
      <w:marRight w:val="0"/>
      <w:marTop w:val="0"/>
      <w:marBottom w:val="0"/>
      <w:divBdr>
        <w:top w:val="none" w:sz="0" w:space="0" w:color="auto"/>
        <w:left w:val="none" w:sz="0" w:space="0" w:color="auto"/>
        <w:bottom w:val="none" w:sz="0" w:space="0" w:color="auto"/>
        <w:right w:val="none" w:sz="0" w:space="0" w:color="auto"/>
      </w:divBdr>
    </w:div>
    <w:div w:id="1948728516">
      <w:bodyDiv w:val="1"/>
      <w:marLeft w:val="0"/>
      <w:marRight w:val="0"/>
      <w:marTop w:val="0"/>
      <w:marBottom w:val="0"/>
      <w:divBdr>
        <w:top w:val="none" w:sz="0" w:space="0" w:color="auto"/>
        <w:left w:val="none" w:sz="0" w:space="0" w:color="auto"/>
        <w:bottom w:val="none" w:sz="0" w:space="0" w:color="auto"/>
        <w:right w:val="none" w:sz="0" w:space="0" w:color="auto"/>
      </w:divBdr>
      <w:divsChild>
        <w:div w:id="708410434">
          <w:marLeft w:val="0"/>
          <w:marRight w:val="0"/>
          <w:marTop w:val="0"/>
          <w:marBottom w:val="0"/>
          <w:divBdr>
            <w:top w:val="none" w:sz="0" w:space="0" w:color="auto"/>
            <w:left w:val="none" w:sz="0" w:space="0" w:color="auto"/>
            <w:bottom w:val="none" w:sz="0" w:space="0" w:color="auto"/>
            <w:right w:val="none" w:sz="0" w:space="0" w:color="auto"/>
          </w:divBdr>
        </w:div>
        <w:div w:id="2022582795">
          <w:marLeft w:val="0"/>
          <w:marRight w:val="0"/>
          <w:marTop w:val="0"/>
          <w:marBottom w:val="0"/>
          <w:divBdr>
            <w:top w:val="none" w:sz="0" w:space="0" w:color="auto"/>
            <w:left w:val="none" w:sz="0" w:space="0" w:color="auto"/>
            <w:bottom w:val="none" w:sz="0" w:space="0" w:color="auto"/>
            <w:right w:val="none" w:sz="0" w:space="0" w:color="auto"/>
          </w:divBdr>
        </w:div>
      </w:divsChild>
    </w:div>
    <w:div w:id="1974486048">
      <w:bodyDiv w:val="1"/>
      <w:marLeft w:val="0"/>
      <w:marRight w:val="0"/>
      <w:marTop w:val="0"/>
      <w:marBottom w:val="0"/>
      <w:divBdr>
        <w:top w:val="none" w:sz="0" w:space="0" w:color="auto"/>
        <w:left w:val="none" w:sz="0" w:space="0" w:color="auto"/>
        <w:bottom w:val="none" w:sz="0" w:space="0" w:color="auto"/>
        <w:right w:val="none" w:sz="0" w:space="0" w:color="auto"/>
      </w:divBdr>
    </w:div>
    <w:div w:id="1998460497">
      <w:bodyDiv w:val="1"/>
      <w:marLeft w:val="0"/>
      <w:marRight w:val="0"/>
      <w:marTop w:val="0"/>
      <w:marBottom w:val="0"/>
      <w:divBdr>
        <w:top w:val="none" w:sz="0" w:space="0" w:color="auto"/>
        <w:left w:val="none" w:sz="0" w:space="0" w:color="auto"/>
        <w:bottom w:val="none" w:sz="0" w:space="0" w:color="auto"/>
        <w:right w:val="none" w:sz="0" w:space="0" w:color="auto"/>
      </w:divBdr>
    </w:div>
    <w:div w:id="2003123623">
      <w:bodyDiv w:val="1"/>
      <w:marLeft w:val="0"/>
      <w:marRight w:val="0"/>
      <w:marTop w:val="0"/>
      <w:marBottom w:val="0"/>
      <w:divBdr>
        <w:top w:val="none" w:sz="0" w:space="0" w:color="auto"/>
        <w:left w:val="none" w:sz="0" w:space="0" w:color="auto"/>
        <w:bottom w:val="none" w:sz="0" w:space="0" w:color="auto"/>
        <w:right w:val="none" w:sz="0" w:space="0" w:color="auto"/>
      </w:divBdr>
      <w:divsChild>
        <w:div w:id="507409841">
          <w:marLeft w:val="0"/>
          <w:marRight w:val="0"/>
          <w:marTop w:val="0"/>
          <w:marBottom w:val="0"/>
          <w:divBdr>
            <w:top w:val="none" w:sz="0" w:space="0" w:color="auto"/>
            <w:left w:val="none" w:sz="0" w:space="0" w:color="auto"/>
            <w:bottom w:val="none" w:sz="0" w:space="0" w:color="auto"/>
            <w:right w:val="none" w:sz="0" w:space="0" w:color="auto"/>
          </w:divBdr>
        </w:div>
        <w:div w:id="595987771">
          <w:marLeft w:val="0"/>
          <w:marRight w:val="0"/>
          <w:marTop w:val="0"/>
          <w:marBottom w:val="0"/>
          <w:divBdr>
            <w:top w:val="none" w:sz="0" w:space="0" w:color="auto"/>
            <w:left w:val="none" w:sz="0" w:space="0" w:color="auto"/>
            <w:bottom w:val="none" w:sz="0" w:space="0" w:color="auto"/>
            <w:right w:val="none" w:sz="0" w:space="0" w:color="auto"/>
          </w:divBdr>
        </w:div>
        <w:div w:id="197011502">
          <w:marLeft w:val="0"/>
          <w:marRight w:val="0"/>
          <w:marTop w:val="0"/>
          <w:marBottom w:val="0"/>
          <w:divBdr>
            <w:top w:val="none" w:sz="0" w:space="0" w:color="auto"/>
            <w:left w:val="none" w:sz="0" w:space="0" w:color="auto"/>
            <w:bottom w:val="none" w:sz="0" w:space="0" w:color="auto"/>
            <w:right w:val="none" w:sz="0" w:space="0" w:color="auto"/>
          </w:divBdr>
        </w:div>
      </w:divsChild>
    </w:div>
    <w:div w:id="2032605372">
      <w:bodyDiv w:val="1"/>
      <w:marLeft w:val="0"/>
      <w:marRight w:val="0"/>
      <w:marTop w:val="0"/>
      <w:marBottom w:val="0"/>
      <w:divBdr>
        <w:top w:val="none" w:sz="0" w:space="0" w:color="auto"/>
        <w:left w:val="none" w:sz="0" w:space="0" w:color="auto"/>
        <w:bottom w:val="none" w:sz="0" w:space="0" w:color="auto"/>
        <w:right w:val="none" w:sz="0" w:space="0" w:color="auto"/>
      </w:divBdr>
    </w:div>
    <w:div w:id="21414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vance.lexis.com/document/?pdmfid=1000516&amp;crid=6fb7a852-ace1-45bd-b48d-cda03b77e890&amp;pddocfullpath=%2Fshared%2Fdocument%2Fcases%2Furn%3AcontentItem%3A5DJ0-K6B1-F15C-B0BV-00000-00&amp;pddocid=urn%3AcontentItem%3A5DJ0-K6B1-F15C-B0BV-00000-00&amp;pdcontentcomponentid=345916&amp;pdshepid=urn%3AcontentItem%3A5DG8-R001-J9X5-R0J4-00000-00&amp;pdshepcat=initial&amp;pdteaserkey=sr0&amp;ecomp=_thhk&amp;earg=sr0&amp;prid=0d16185b-908f-4adb-a9aa-43015836e2d4" TargetMode="External"/><Relationship Id="rId18" Type="http://schemas.openxmlformats.org/officeDocument/2006/relationships/hyperlink" Target="http://www.abajournal.com/authors/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ed.uscourts.gov/OilSpill/Orders/9152014Order%28OPATestMotToStrike%29.pdf" TargetMode="External"/><Relationship Id="rId7" Type="http://schemas.openxmlformats.org/officeDocument/2006/relationships/footnotes" Target="footnotes.xml"/><Relationship Id="rId12" Type="http://schemas.openxmlformats.org/officeDocument/2006/relationships/hyperlink" Target="https://www.lexisnexis.com/clients/macourts/" TargetMode="External"/><Relationship Id="rId17" Type="http://schemas.openxmlformats.org/officeDocument/2006/relationships/hyperlink" Target="https://advance.lexis.com/document/?pdmfid=1000516&amp;crid=3acdfaac-a0dc-4c12-8216-18ab9a3ec35c&amp;pddocfullpath=%2Fshared%2Fdocument%2Fcases%2Furn%3AcontentItem%3A5DJV-F4T1-F15C-B0CK-00000-00&amp;pddocid=urn%3AcontentItem%3A5DJV-F4T1-F15C-B0CK-00000-00&amp;pdcontentcomponentid=345916&amp;pdshepid=urn%3AcontentItem%3A5DG8-TKN1-DXC7-J0D2-00000-00&amp;pdshepcat=initial&amp;pdteaserkey=sr0&amp;ecomp=_thhk&amp;earg=sr0&amp;prid=cbcd3d05-aa66-4a16-aad8-eb79fc0b654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vance.lexis.com/document/?pdmfid=1000516&amp;crid=3acdfaac-a0dc-4c12-8216-18ab9a3ec35c&amp;pddocfullpath=%2Fshared%2Fdocument%2Fcases%2Furn%3AcontentItem%3A5DJV-F4T1-F15C-B0CK-00000-00&amp;pddocid=urn%3AcontentItem%3A5DJV-F4T1-F15C-B0CK-00000-00&amp;pdcontentcomponentid=345916&amp;pdshepid=urn%3AcontentItem%3A5DG8-TKN1-DXC7-J0D2-00000-00&amp;pdshepcat=initial&amp;pdteaserkey=sr0&amp;ecomp=_thhk&amp;earg=sr0&amp;prid=cbcd3d05-aa66-4a16-aad8-eb79fc0b6543" TargetMode="External"/><Relationship Id="rId20" Type="http://schemas.openxmlformats.org/officeDocument/2006/relationships/hyperlink" Target="https://www.lancsngfl.ac.uk/secondary/math/download/file/How%20the%20Brain%20Learns%20by%20David%20Sous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bliccounsel.net/cafl/professional/appellate-practice-tools-and-resources/issueresource-bank/" TargetMode="External"/><Relationship Id="rId24" Type="http://schemas.openxmlformats.org/officeDocument/2006/relationships/hyperlink" Target="http://www.mass.gov/courts/court-info/sjc/about/reporter-of-decisions/new-opinions.html" TargetMode="External"/><Relationship Id="rId5" Type="http://schemas.openxmlformats.org/officeDocument/2006/relationships/settings" Target="settings.xml"/><Relationship Id="rId15" Type="http://schemas.openxmlformats.org/officeDocument/2006/relationships/hyperlink" Target="https://advance.lexis.com/document/?pdmfid=1000516&amp;crid=6fb7a852-ace1-45bd-b48d-cda03b77e890&amp;pddocfullpath=%2Fshared%2Fdocument%2Fcases%2Furn%3AcontentItem%3A5DJ0-K6B1-F15C-B0BV-00000-00&amp;pddocid=urn%3AcontentItem%3A5DJ0-K6B1-F15C-B0BV-00000-00&amp;pdcontentcomponentid=345916&amp;pdshepid=urn%3AcontentItem%3A5DG8-R001-J9X5-R0J4-00000-00&amp;pdshepcat=initial&amp;pdteaserkey=sr0&amp;ecomp=_thhk&amp;earg=sr0&amp;prid=0d16185b-908f-4adb-a9aa-43015836e2d4" TargetMode="External"/><Relationship Id="rId23" Type="http://schemas.openxmlformats.org/officeDocument/2006/relationships/hyperlink" Target="http://www.npr.org/blogs/thetwo-way/2014/09/16/349006089/bp-lawyers-use-old-school-trick-judge-not-amused?sc=17&amp;f=1001" TargetMode="External"/><Relationship Id="rId10" Type="http://schemas.openxmlformats.org/officeDocument/2006/relationships/hyperlink" Target="http://www.publiccounsel.net/cafl/private-counsel-appellate-panel/" TargetMode="External"/><Relationship Id="rId19" Type="http://schemas.openxmlformats.org/officeDocument/2006/relationships/hyperlink" Target="http://online.wsj.com/articles/why-adverbs-maligned-by-many-flourish-in-the-american-legal-system-1412735402" TargetMode="External"/><Relationship Id="rId4" Type="http://schemas.microsoft.com/office/2007/relationships/stylesWithEffects" Target="stylesWithEffects.xml"/><Relationship Id="rId9" Type="http://schemas.openxmlformats.org/officeDocument/2006/relationships/hyperlink" Target="http://www.publiccounsel.net" TargetMode="External"/><Relationship Id="rId14" Type="http://schemas.openxmlformats.org/officeDocument/2006/relationships/hyperlink" Target="https://advance.lexis.com/document/?pdmfid=1000516&amp;crid=6fb7a852-ace1-45bd-b48d-cda03b77e890&amp;pddocfullpath=%2Fshared%2Fdocument%2Fcases%2Furn%3AcontentItem%3A5DJ0-K6B1-F15C-B0BV-00000-00&amp;pddocid=urn%3AcontentItem%3A5DJ0-K6B1-F15C-B0BV-00000-00&amp;pdcontentcomponentid=345916&amp;pdshepid=urn%3AcontentItem%3A5DG8-R001-J9X5-R0J4-00000-00&amp;pdshepcat=initial&amp;pdteaserkey=sr0&amp;ecomp=_thhk&amp;earg=sr0&amp;prid=0d16185b-908f-4adb-a9aa-43015836e2d4" TargetMode="External"/><Relationship Id="rId22" Type="http://schemas.openxmlformats.org/officeDocument/2006/relationships/hyperlink" Target="http://www.slate.com/blogs/the_slatest/2014/09/16/bp_changes_line_spacing_in_court_filing_to_beat_page_limi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415A4-E8DF-4792-9954-1E868DBE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4968</Words>
  <Characters>28321</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33223</CharactersWithSpaces>
  <SharedDoc>false</SharedDoc>
  <HLinks>
    <vt:vector size="12" baseType="variant">
      <vt:variant>
        <vt:i4>5963782</vt:i4>
      </vt:variant>
      <vt:variant>
        <vt:i4>3</vt:i4>
      </vt:variant>
      <vt:variant>
        <vt:i4>0</vt:i4>
      </vt:variant>
      <vt:variant>
        <vt:i4>5</vt:i4>
      </vt:variant>
      <vt:variant>
        <vt:lpwstr>http://www.ca5.uscourts.gov/opinions/pub/10/10-10325-CV0.wpd.pdf</vt:lpwstr>
      </vt:variant>
      <vt:variant>
        <vt:lpwstr/>
      </vt:variant>
      <vt:variant>
        <vt:i4>1966171</vt:i4>
      </vt:variant>
      <vt:variant>
        <vt:i4>0</vt:i4>
      </vt:variant>
      <vt:variant>
        <vt:i4>0</vt:i4>
      </vt:variant>
      <vt:variant>
        <vt:i4>5</vt:i4>
      </vt:variant>
      <vt:variant>
        <vt:lpwstr>http://www.massreports.com/UnpublishedDecisions/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acohen</dc:creator>
  <cp:lastModifiedBy>Jaime Prince</cp:lastModifiedBy>
  <cp:revision>2</cp:revision>
  <cp:lastPrinted>2013-01-23T21:29:00Z</cp:lastPrinted>
  <dcterms:created xsi:type="dcterms:W3CDTF">2015-12-29T14:53:00Z</dcterms:created>
  <dcterms:modified xsi:type="dcterms:W3CDTF">2015-12-29T14:53:00Z</dcterms:modified>
</cp:coreProperties>
</file>