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101EF" w14:textId="77777777" w:rsidR="00AC30A0" w:rsidRDefault="00AC30A0" w:rsidP="00AC30A0">
      <w:pPr>
        <w:jc w:val="center"/>
        <w:rPr>
          <w:b/>
          <w:i/>
          <w:sz w:val="40"/>
        </w:rPr>
      </w:pPr>
      <w:bookmarkStart w:id="0" w:name="_GoBack"/>
      <w:bookmarkEnd w:id="0"/>
      <w:r>
        <w:rPr>
          <w:b/>
          <w:i/>
          <w:sz w:val="40"/>
        </w:rPr>
        <w:t>Committee for Public Counsel Services</w:t>
      </w:r>
    </w:p>
    <w:p w14:paraId="6603FDD8" w14:textId="77777777" w:rsidR="00AC30A0" w:rsidRDefault="00AC30A0" w:rsidP="00AC30A0">
      <w:pPr>
        <w:jc w:val="center"/>
        <w:rPr>
          <w:i/>
        </w:rPr>
      </w:pPr>
      <w:r>
        <w:rPr>
          <w:b/>
          <w:i/>
          <w:sz w:val="40"/>
        </w:rPr>
        <w:t>Children and Family Law Division</w:t>
      </w:r>
    </w:p>
    <w:p w14:paraId="422E475F" w14:textId="77777777" w:rsidR="00AC30A0" w:rsidRDefault="00AC30A0" w:rsidP="00AC30A0">
      <w:pPr>
        <w:jc w:val="center"/>
        <w:rPr>
          <w:i/>
        </w:rPr>
      </w:pPr>
      <w:r>
        <w:rPr>
          <w:i/>
        </w:rPr>
        <w:t>44 Bromfield Street, Boston, MA 02108</w:t>
      </w:r>
    </w:p>
    <w:p w14:paraId="0474E3AD" w14:textId="77777777" w:rsidR="00AC30A0" w:rsidRDefault="00AC30A0" w:rsidP="00AC30A0">
      <w:pPr>
        <w:jc w:val="center"/>
      </w:pPr>
      <w:r>
        <w:rPr>
          <w:i/>
        </w:rPr>
        <w:t>Phone: (617) 482-6212, Fax: (617) 988-8455</w:t>
      </w:r>
    </w:p>
    <w:p w14:paraId="134F275C" w14:textId="77777777" w:rsidR="00AC30A0" w:rsidRDefault="00AC30A0" w:rsidP="00AC30A0">
      <w:r>
        <w:tab/>
      </w:r>
      <w:r>
        <w:tab/>
      </w:r>
      <w:r>
        <w:tab/>
      </w:r>
    </w:p>
    <w:p w14:paraId="5E123E7E" w14:textId="77777777" w:rsidR="00EF4598" w:rsidRDefault="00EF4598" w:rsidP="00AC30A0">
      <w:pPr>
        <w:jc w:val="center"/>
        <w:rPr>
          <w:b/>
          <w:sz w:val="30"/>
        </w:rPr>
      </w:pPr>
    </w:p>
    <w:p w14:paraId="5EA5C126" w14:textId="77777777" w:rsidR="00AC30A0" w:rsidRPr="00201DF5" w:rsidRDefault="00201DF5" w:rsidP="00AC30A0">
      <w:pPr>
        <w:jc w:val="center"/>
        <w:rPr>
          <w:b/>
          <w:sz w:val="30"/>
        </w:rPr>
      </w:pPr>
      <w:r w:rsidRPr="00201DF5">
        <w:rPr>
          <w:b/>
          <w:sz w:val="30"/>
        </w:rPr>
        <w:t>APPELLATE BULLETIN</w:t>
      </w:r>
    </w:p>
    <w:p w14:paraId="17EFA8A5" w14:textId="77777777" w:rsidR="00AC30A0" w:rsidRDefault="00AC30A0" w:rsidP="00AC30A0">
      <w:pPr>
        <w:jc w:val="center"/>
        <w:rPr>
          <w:b/>
        </w:rPr>
      </w:pPr>
    </w:p>
    <w:p w14:paraId="6025939D" w14:textId="77777777"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14:paraId="1C9CC76D" w14:textId="77777777" w:rsidR="00AC30A0" w:rsidRDefault="00AC30A0" w:rsidP="00AC30A0">
      <w:pPr>
        <w:ind w:left="720" w:right="720" w:hanging="720"/>
        <w:rPr>
          <w:szCs w:val="24"/>
        </w:rPr>
      </w:pPr>
      <w:r>
        <w:rPr>
          <w:szCs w:val="24"/>
        </w:rPr>
        <w:t>cc:</w:t>
      </w:r>
      <w:r>
        <w:rPr>
          <w:szCs w:val="24"/>
        </w:rPr>
        <w:tab/>
        <w:t>CAFL Trial Panel Members</w:t>
      </w:r>
    </w:p>
    <w:p w14:paraId="459B6ED3" w14:textId="77777777" w:rsidR="00AC30A0" w:rsidRDefault="00AC30A0" w:rsidP="00AC30A0">
      <w:pPr>
        <w:ind w:left="720" w:right="720"/>
        <w:rPr>
          <w:szCs w:val="24"/>
        </w:rPr>
      </w:pPr>
      <w:r>
        <w:rPr>
          <w:szCs w:val="24"/>
        </w:rPr>
        <w:t>CAFL Administrative Attorneys</w:t>
      </w:r>
    </w:p>
    <w:p w14:paraId="76F76067" w14:textId="77777777"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000C45C5">
        <w:rPr>
          <w:szCs w:val="24"/>
        </w:rPr>
        <w:t xml:space="preserve">, </w:t>
      </w:r>
      <w:r w:rsidRPr="00045951">
        <w:rPr>
          <w:szCs w:val="24"/>
        </w:rPr>
        <w:t xml:space="preserve">CAFL </w:t>
      </w:r>
      <w:r>
        <w:rPr>
          <w:szCs w:val="24"/>
        </w:rPr>
        <w:t>Division</w:t>
      </w:r>
    </w:p>
    <w:p w14:paraId="0B3A41C3" w14:textId="77777777" w:rsidR="00220ADD" w:rsidRDefault="00952269" w:rsidP="00AC30A0">
      <w:pPr>
        <w:ind w:right="720"/>
        <w:rPr>
          <w:szCs w:val="24"/>
        </w:rPr>
      </w:pPr>
      <w:r>
        <w:rPr>
          <w:szCs w:val="24"/>
        </w:rPr>
        <w:tab/>
        <w:t>Jaime Prince, Staff Attorney, CAFL</w:t>
      </w:r>
      <w:r w:rsidR="00383337">
        <w:rPr>
          <w:szCs w:val="24"/>
        </w:rPr>
        <w:t xml:space="preserve"> Division</w:t>
      </w:r>
    </w:p>
    <w:p w14:paraId="54F99082" w14:textId="77777777"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14:paraId="0529ADB0" w14:textId="77777777" w:rsidR="00AC30A0" w:rsidRDefault="00AA66BF" w:rsidP="00AC30A0">
      <w:pPr>
        <w:tabs>
          <w:tab w:val="left" w:pos="720"/>
        </w:tabs>
        <w:ind w:right="720"/>
        <w:rPr>
          <w:szCs w:val="24"/>
        </w:rPr>
      </w:pPr>
      <w:r>
        <w:rPr>
          <w:szCs w:val="24"/>
        </w:rPr>
        <w:tab/>
      </w:r>
      <w:r w:rsidR="00AC30A0">
        <w:rPr>
          <w:szCs w:val="24"/>
        </w:rPr>
        <w:t>Recent Rule 1:28 Decisions</w:t>
      </w:r>
    </w:p>
    <w:p w14:paraId="2AF8DFFA" w14:textId="77777777" w:rsidR="008F616E" w:rsidRDefault="008F616E" w:rsidP="008F616E">
      <w:pPr>
        <w:tabs>
          <w:tab w:val="left" w:pos="720"/>
        </w:tabs>
        <w:ind w:right="720" w:firstLine="720"/>
        <w:rPr>
          <w:szCs w:val="24"/>
        </w:rPr>
      </w:pPr>
      <w:r>
        <w:rPr>
          <w:szCs w:val="24"/>
        </w:rPr>
        <w:t>Writing Tips</w:t>
      </w:r>
    </w:p>
    <w:p w14:paraId="28B545A6" w14:textId="77777777" w:rsidR="00AB5533" w:rsidRDefault="008F616E" w:rsidP="008F616E">
      <w:pPr>
        <w:tabs>
          <w:tab w:val="left" w:pos="720"/>
        </w:tabs>
        <w:ind w:right="720" w:firstLine="720"/>
        <w:rPr>
          <w:szCs w:val="24"/>
        </w:rPr>
      </w:pPr>
      <w:r>
        <w:rPr>
          <w:szCs w:val="24"/>
        </w:rPr>
        <w:t>Practice</w:t>
      </w:r>
      <w:r w:rsidR="00970E4F">
        <w:rPr>
          <w:szCs w:val="24"/>
        </w:rPr>
        <w:t xml:space="preserve"> Tips</w:t>
      </w:r>
    </w:p>
    <w:p w14:paraId="4D3DC440" w14:textId="392D2506" w:rsidR="00AC30A0" w:rsidRPr="00045951" w:rsidRDefault="00AC30A0" w:rsidP="00AC30A0">
      <w:pPr>
        <w:tabs>
          <w:tab w:val="left" w:pos="720"/>
        </w:tabs>
        <w:ind w:right="720"/>
        <w:rPr>
          <w:szCs w:val="24"/>
        </w:rPr>
      </w:pPr>
      <w:r w:rsidRPr="00045951">
        <w:rPr>
          <w:szCs w:val="24"/>
        </w:rPr>
        <w:t>Date:</w:t>
      </w:r>
      <w:r w:rsidRPr="00045951">
        <w:rPr>
          <w:szCs w:val="24"/>
        </w:rPr>
        <w:tab/>
      </w:r>
      <w:r w:rsidR="00D36689">
        <w:rPr>
          <w:szCs w:val="24"/>
        </w:rPr>
        <w:t>October 4</w:t>
      </w:r>
      <w:r w:rsidR="00452C67">
        <w:rPr>
          <w:szCs w:val="24"/>
        </w:rPr>
        <w:t>, 201</w:t>
      </w:r>
      <w:r w:rsidR="00174D15">
        <w:rPr>
          <w:szCs w:val="24"/>
        </w:rPr>
        <w:t>6</w:t>
      </w:r>
    </w:p>
    <w:p w14:paraId="559EA803" w14:textId="77777777" w:rsidR="00AC30A0" w:rsidRPr="00045951" w:rsidRDefault="00AC30A0" w:rsidP="00AC30A0">
      <w:pPr>
        <w:ind w:right="720"/>
        <w:rPr>
          <w:szCs w:val="24"/>
        </w:rPr>
      </w:pPr>
      <w:r w:rsidRPr="00045951">
        <w:rPr>
          <w:szCs w:val="24"/>
        </w:rPr>
        <w:t>__________________________________________________________________</w:t>
      </w:r>
    </w:p>
    <w:p w14:paraId="42A04FFC" w14:textId="77777777" w:rsidR="00AC30A0" w:rsidRDefault="00AC30A0" w:rsidP="00AC30A0">
      <w:pPr>
        <w:rPr>
          <w:b/>
          <w:szCs w:val="24"/>
          <w:u w:val="single"/>
        </w:rPr>
      </w:pPr>
    </w:p>
    <w:p w14:paraId="342626DE" w14:textId="57225BB4" w:rsidR="00DA6E5C" w:rsidRPr="002F4ED3" w:rsidRDefault="00A14DC5" w:rsidP="00AC30A0">
      <w:pPr>
        <w:widowControl/>
        <w:rPr>
          <w:b/>
          <w:szCs w:val="24"/>
          <w:u w:val="single"/>
        </w:rPr>
      </w:pPr>
      <w:r>
        <w:rPr>
          <w:b/>
          <w:szCs w:val="24"/>
          <w:u w:val="single"/>
        </w:rPr>
        <w:t>Administrative Matters</w:t>
      </w:r>
    </w:p>
    <w:p w14:paraId="36ADE0A6" w14:textId="77777777" w:rsidR="00AA66BF" w:rsidRDefault="00AA66BF" w:rsidP="00AC30A0">
      <w:pPr>
        <w:widowControl/>
        <w:rPr>
          <w:szCs w:val="24"/>
        </w:rPr>
      </w:pPr>
    </w:p>
    <w:p w14:paraId="7978713C" w14:textId="3C9210D2" w:rsidR="00D27266" w:rsidRPr="00831DCF" w:rsidRDefault="00D27266" w:rsidP="00831DCF">
      <w:pPr>
        <w:pStyle w:val="ListParagraph"/>
        <w:widowControl/>
        <w:numPr>
          <w:ilvl w:val="0"/>
          <w:numId w:val="20"/>
        </w:numPr>
        <w:ind w:hanging="720"/>
        <w:rPr>
          <w:szCs w:val="24"/>
          <w:u w:val="single"/>
        </w:rPr>
      </w:pPr>
      <w:r w:rsidRPr="00831DCF">
        <w:rPr>
          <w:szCs w:val="24"/>
          <w:u w:val="single"/>
        </w:rPr>
        <w:t>Copies of Briefs</w:t>
      </w:r>
    </w:p>
    <w:p w14:paraId="4C2F799D" w14:textId="77777777" w:rsidR="00D27266" w:rsidRPr="00D27266" w:rsidRDefault="00D27266" w:rsidP="00AC30A0">
      <w:pPr>
        <w:widowControl/>
        <w:rPr>
          <w:szCs w:val="24"/>
          <w:u w:val="single"/>
        </w:rPr>
      </w:pPr>
    </w:p>
    <w:p w14:paraId="0F44D5E7" w14:textId="77777777" w:rsidR="00197B02" w:rsidRDefault="00D27266" w:rsidP="00D27266">
      <w:pPr>
        <w:rPr>
          <w:szCs w:val="24"/>
        </w:rPr>
      </w:pPr>
      <w:r w:rsidRPr="00D27266">
        <w:rPr>
          <w:szCs w:val="24"/>
        </w:rPr>
        <w:t>The Appeals Court issued an Order</w:t>
      </w:r>
      <w:r>
        <w:rPr>
          <w:szCs w:val="24"/>
        </w:rPr>
        <w:t xml:space="preserve"> on July 29, 2016</w:t>
      </w:r>
      <w:r w:rsidRPr="00D27266">
        <w:rPr>
          <w:szCs w:val="24"/>
        </w:rPr>
        <w:t xml:space="preserve"> stating that parties </w:t>
      </w:r>
      <w:r>
        <w:rPr>
          <w:szCs w:val="24"/>
        </w:rPr>
        <w:t>shall</w:t>
      </w:r>
      <w:r w:rsidRPr="00D27266">
        <w:rPr>
          <w:szCs w:val="24"/>
        </w:rPr>
        <w:t xml:space="preserve"> file only</w:t>
      </w:r>
      <w:r w:rsidRPr="00D27266">
        <w:rPr>
          <w:rStyle w:val="apple-converted-space"/>
          <w:szCs w:val="24"/>
        </w:rPr>
        <w:t> </w:t>
      </w:r>
      <w:r w:rsidRPr="00D27266">
        <w:rPr>
          <w:szCs w:val="24"/>
          <w:u w:val="single"/>
        </w:rPr>
        <w:t>4</w:t>
      </w:r>
      <w:r w:rsidRPr="00D27266">
        <w:rPr>
          <w:rStyle w:val="apple-converted-space"/>
          <w:szCs w:val="24"/>
        </w:rPr>
        <w:t> </w:t>
      </w:r>
      <w:r w:rsidRPr="00D27266">
        <w:rPr>
          <w:szCs w:val="24"/>
        </w:rPr>
        <w:t>copies of each brief and record appendix volume,</w:t>
      </w:r>
      <w:r w:rsidRPr="00D27266">
        <w:rPr>
          <w:rStyle w:val="apple-converted-space"/>
          <w:szCs w:val="24"/>
        </w:rPr>
        <w:t> </w:t>
      </w:r>
      <w:r w:rsidRPr="00D27266">
        <w:rPr>
          <w:szCs w:val="24"/>
          <w:u w:val="single"/>
        </w:rPr>
        <w:t>2</w:t>
      </w:r>
      <w:r w:rsidRPr="00D27266">
        <w:rPr>
          <w:rStyle w:val="apple-converted-space"/>
          <w:szCs w:val="24"/>
        </w:rPr>
        <w:t> </w:t>
      </w:r>
      <w:r w:rsidRPr="00D27266">
        <w:rPr>
          <w:szCs w:val="24"/>
        </w:rPr>
        <w:t>copies of each exhibit volume, and</w:t>
      </w:r>
      <w:r w:rsidRPr="00D27266">
        <w:rPr>
          <w:rStyle w:val="apple-converted-space"/>
          <w:szCs w:val="24"/>
        </w:rPr>
        <w:t> </w:t>
      </w:r>
      <w:r w:rsidRPr="00D27266">
        <w:rPr>
          <w:szCs w:val="24"/>
          <w:u w:val="single"/>
        </w:rPr>
        <w:t>1</w:t>
      </w:r>
      <w:r w:rsidRPr="00D27266">
        <w:rPr>
          <w:rStyle w:val="apple-converted-space"/>
          <w:szCs w:val="24"/>
        </w:rPr>
        <w:t> </w:t>
      </w:r>
      <w:r w:rsidRPr="00D27266">
        <w:rPr>
          <w:szCs w:val="24"/>
        </w:rPr>
        <w:t>copy of each transcript volume.  (You will continue to serve on other counsel 2 copies of the brief/record appendix and 1 copy each of the exhibit and transcripts volumes.)  </w:t>
      </w:r>
      <w:r>
        <w:rPr>
          <w:szCs w:val="24"/>
        </w:rPr>
        <w:t>Per the Order, do</w:t>
      </w:r>
      <w:r w:rsidRPr="00D27266">
        <w:rPr>
          <w:szCs w:val="24"/>
        </w:rPr>
        <w:t xml:space="preserve"> not follow Mass. R. App. P. 18(e) and 19(b</w:t>
      </w:r>
      <w:proofErr w:type="gramStart"/>
      <w:r w:rsidRPr="00D27266">
        <w:rPr>
          <w:szCs w:val="24"/>
        </w:rPr>
        <w:t>)(</w:t>
      </w:r>
      <w:proofErr w:type="gramEnd"/>
      <w:r w:rsidRPr="00D27266">
        <w:rPr>
          <w:szCs w:val="24"/>
        </w:rPr>
        <w:t>1) as to numbers of copies.</w:t>
      </w:r>
      <w:r w:rsidR="00197B02">
        <w:rPr>
          <w:szCs w:val="24"/>
        </w:rPr>
        <w:t xml:space="preserve">  </w:t>
      </w:r>
    </w:p>
    <w:p w14:paraId="3C310C42" w14:textId="77777777" w:rsidR="00197B02" w:rsidRDefault="00197B02" w:rsidP="00D27266">
      <w:pPr>
        <w:rPr>
          <w:szCs w:val="24"/>
        </w:rPr>
      </w:pPr>
    </w:p>
    <w:p w14:paraId="163EE0D9" w14:textId="3496DEB1" w:rsidR="00D27266" w:rsidRDefault="00D27266" w:rsidP="00D27266">
      <w:pPr>
        <w:rPr>
          <w:szCs w:val="24"/>
        </w:rPr>
      </w:pPr>
      <w:r w:rsidRPr="00D27266">
        <w:rPr>
          <w:szCs w:val="24"/>
        </w:rPr>
        <w:t xml:space="preserve">Note that your 4 copies of the brief can be either 1 original and 3 </w:t>
      </w:r>
      <w:proofErr w:type="gramStart"/>
      <w:r w:rsidRPr="00D27266">
        <w:rPr>
          <w:szCs w:val="24"/>
        </w:rPr>
        <w:t>copies</w:t>
      </w:r>
      <w:proofErr w:type="gramEnd"/>
      <w:r w:rsidRPr="00D27266">
        <w:rPr>
          <w:rStyle w:val="apple-converted-space"/>
          <w:szCs w:val="24"/>
        </w:rPr>
        <w:t> </w:t>
      </w:r>
      <w:r w:rsidRPr="00D27266">
        <w:rPr>
          <w:i/>
          <w:iCs/>
          <w:szCs w:val="24"/>
        </w:rPr>
        <w:t>or</w:t>
      </w:r>
      <w:r w:rsidRPr="00D27266">
        <w:rPr>
          <w:rStyle w:val="apple-converted-space"/>
          <w:szCs w:val="24"/>
        </w:rPr>
        <w:t> </w:t>
      </w:r>
      <w:r w:rsidRPr="00D27266">
        <w:rPr>
          <w:szCs w:val="24"/>
        </w:rPr>
        <w:t>4 copies; Rule 19(b) contains no requiremen</w:t>
      </w:r>
      <w:r w:rsidR="005B6278">
        <w:rPr>
          <w:szCs w:val="24"/>
        </w:rPr>
        <w:t xml:space="preserve">t of an original signed brief. </w:t>
      </w:r>
      <w:r w:rsidR="00EF4598">
        <w:rPr>
          <w:szCs w:val="24"/>
        </w:rPr>
        <w:t xml:space="preserve"> </w:t>
      </w:r>
      <w:r w:rsidRPr="00D27266">
        <w:rPr>
          <w:szCs w:val="24"/>
        </w:rPr>
        <w:t>Each of the 4 copies must be bound.  </w:t>
      </w:r>
    </w:p>
    <w:p w14:paraId="353CBB6D" w14:textId="77777777" w:rsidR="00D27266" w:rsidRDefault="00D27266" w:rsidP="00D27266">
      <w:pPr>
        <w:rPr>
          <w:szCs w:val="24"/>
        </w:rPr>
      </w:pPr>
    </w:p>
    <w:p w14:paraId="75EF1E0F" w14:textId="046A23E7" w:rsidR="00D27266" w:rsidRPr="00D27266" w:rsidRDefault="00D27266" w:rsidP="00D27266">
      <w:pPr>
        <w:rPr>
          <w:szCs w:val="24"/>
        </w:rPr>
      </w:pPr>
      <w:r>
        <w:rPr>
          <w:szCs w:val="24"/>
        </w:rPr>
        <w:t>Please remember that the Rules are different for numbers of copies in the SJC</w:t>
      </w:r>
      <w:r w:rsidR="00EF4598">
        <w:rPr>
          <w:szCs w:val="24"/>
        </w:rPr>
        <w:t>.</w:t>
      </w:r>
    </w:p>
    <w:p w14:paraId="02E9DC6C" w14:textId="77777777" w:rsidR="00D27266" w:rsidRPr="00D27266" w:rsidRDefault="00D27266" w:rsidP="00AC30A0">
      <w:pPr>
        <w:widowControl/>
        <w:rPr>
          <w:szCs w:val="24"/>
        </w:rPr>
      </w:pPr>
    </w:p>
    <w:p w14:paraId="47901D84" w14:textId="503A6B8A" w:rsidR="009639C3" w:rsidRPr="00831DCF" w:rsidRDefault="00AA66BF" w:rsidP="00831DCF">
      <w:pPr>
        <w:pStyle w:val="ListParagraph"/>
        <w:widowControl/>
        <w:numPr>
          <w:ilvl w:val="0"/>
          <w:numId w:val="20"/>
        </w:numPr>
        <w:ind w:hanging="720"/>
        <w:rPr>
          <w:szCs w:val="24"/>
        </w:rPr>
      </w:pPr>
      <w:r w:rsidRPr="00831DCF">
        <w:rPr>
          <w:szCs w:val="24"/>
          <w:u w:val="single"/>
        </w:rPr>
        <w:t>Moot Courts</w:t>
      </w:r>
      <w:r w:rsidRPr="00831DCF">
        <w:rPr>
          <w:szCs w:val="24"/>
        </w:rPr>
        <w:t xml:space="preserve">  </w:t>
      </w:r>
    </w:p>
    <w:p w14:paraId="7EC9294A" w14:textId="77777777" w:rsidR="009639C3" w:rsidRDefault="009639C3" w:rsidP="00AC30A0">
      <w:pPr>
        <w:widowControl/>
        <w:rPr>
          <w:szCs w:val="24"/>
        </w:rPr>
      </w:pPr>
    </w:p>
    <w:p w14:paraId="06420202" w14:textId="77777777" w:rsidR="00AA66BF" w:rsidRDefault="007A01C4" w:rsidP="00AC30A0">
      <w:pPr>
        <w:widowControl/>
        <w:rPr>
          <w:szCs w:val="24"/>
        </w:rPr>
      </w:pPr>
      <w:r>
        <w:rPr>
          <w:szCs w:val="24"/>
        </w:rPr>
        <w:t>I</w:t>
      </w:r>
      <w:r w:rsidR="00B40C29">
        <w:rPr>
          <w:szCs w:val="24"/>
        </w:rPr>
        <w:t xml:space="preserve">f you have an upcoming </w:t>
      </w:r>
      <w:r w:rsidR="00737EAE">
        <w:rPr>
          <w:szCs w:val="24"/>
        </w:rPr>
        <w:t>oral</w:t>
      </w:r>
      <w:r w:rsidR="0094473F">
        <w:rPr>
          <w:szCs w:val="24"/>
        </w:rPr>
        <w:t xml:space="preserve"> </w:t>
      </w:r>
      <w:r w:rsidR="00B40C29">
        <w:rPr>
          <w:szCs w:val="24"/>
        </w:rPr>
        <w:t xml:space="preserve">argument </w:t>
      </w:r>
      <w:r w:rsidR="00AA66BF">
        <w:rPr>
          <w:szCs w:val="24"/>
        </w:rPr>
        <w:t>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r w:rsidR="002F3363">
        <w:rPr>
          <w:szCs w:val="24"/>
        </w:rPr>
        <w:t xml:space="preserve"> Remember, if you moot-court with someone from our administrative office, you will receive 2 CLE credits for the current fiscal year.</w:t>
      </w:r>
    </w:p>
    <w:p w14:paraId="2D53BF99" w14:textId="77777777" w:rsidR="00F66A35" w:rsidRDefault="00F66A35" w:rsidP="00AC30A0">
      <w:pPr>
        <w:widowControl/>
        <w:rPr>
          <w:szCs w:val="24"/>
        </w:rPr>
      </w:pPr>
    </w:p>
    <w:p w14:paraId="76EFFCED" w14:textId="77777777" w:rsidR="00EF4598" w:rsidRDefault="00EF4598" w:rsidP="00AC30A0">
      <w:pPr>
        <w:widowControl/>
        <w:rPr>
          <w:b/>
          <w:szCs w:val="24"/>
          <w:u w:val="single"/>
        </w:rPr>
      </w:pPr>
    </w:p>
    <w:p w14:paraId="6FC71026" w14:textId="77777777" w:rsidR="00EF4598" w:rsidRDefault="00EF4598" w:rsidP="00AC30A0">
      <w:pPr>
        <w:widowControl/>
        <w:rPr>
          <w:b/>
          <w:szCs w:val="24"/>
          <w:u w:val="single"/>
        </w:rPr>
      </w:pPr>
    </w:p>
    <w:p w14:paraId="1AE9F0DD" w14:textId="77777777" w:rsidR="005B6278" w:rsidRDefault="005B6278" w:rsidP="00AC30A0">
      <w:pPr>
        <w:widowControl/>
        <w:rPr>
          <w:b/>
          <w:szCs w:val="24"/>
          <w:u w:val="single"/>
        </w:rPr>
      </w:pPr>
    </w:p>
    <w:p w14:paraId="00EA2541" w14:textId="2A7DBEBB" w:rsidR="00F66A35" w:rsidRDefault="00F66A35" w:rsidP="00AC30A0">
      <w:pPr>
        <w:widowControl/>
        <w:rPr>
          <w:b/>
          <w:szCs w:val="24"/>
          <w:u w:val="single"/>
        </w:rPr>
      </w:pPr>
      <w:r>
        <w:rPr>
          <w:b/>
          <w:szCs w:val="24"/>
          <w:u w:val="single"/>
        </w:rPr>
        <w:lastRenderedPageBreak/>
        <w:t>Recent Decisions</w:t>
      </w:r>
    </w:p>
    <w:p w14:paraId="31A3EBD5" w14:textId="77777777" w:rsidR="00F66A35" w:rsidRDefault="00F66A35" w:rsidP="00AC30A0">
      <w:pPr>
        <w:widowControl/>
        <w:rPr>
          <w:szCs w:val="24"/>
        </w:rPr>
      </w:pPr>
    </w:p>
    <w:p w14:paraId="350AD896" w14:textId="1599F56D" w:rsidR="006C6A41" w:rsidRPr="006C6A41" w:rsidRDefault="006C6A41" w:rsidP="006C6A41">
      <w:pPr>
        <w:pStyle w:val="ListParagraph"/>
        <w:widowControl/>
        <w:numPr>
          <w:ilvl w:val="0"/>
          <w:numId w:val="16"/>
        </w:numPr>
        <w:ind w:hanging="720"/>
        <w:rPr>
          <w:szCs w:val="24"/>
          <w:u w:val="single"/>
        </w:rPr>
      </w:pPr>
      <w:r w:rsidRPr="006C6A41">
        <w:rPr>
          <w:szCs w:val="24"/>
          <w:u w:val="single"/>
        </w:rPr>
        <w:t>Published Decisions</w:t>
      </w:r>
    </w:p>
    <w:p w14:paraId="48A144DB" w14:textId="77777777" w:rsidR="006C6A41" w:rsidRPr="006C6A41" w:rsidRDefault="006C6A41" w:rsidP="00AC30A0">
      <w:pPr>
        <w:widowControl/>
        <w:rPr>
          <w:szCs w:val="24"/>
          <w:u w:val="single"/>
        </w:rPr>
      </w:pPr>
    </w:p>
    <w:p w14:paraId="789B0D37" w14:textId="23153A20" w:rsidR="00F66A35" w:rsidRDefault="00A779DA" w:rsidP="00AC30A0">
      <w:pPr>
        <w:widowControl/>
        <w:rPr>
          <w:szCs w:val="24"/>
        </w:rPr>
      </w:pPr>
      <w:r>
        <w:rPr>
          <w:szCs w:val="24"/>
        </w:rPr>
        <w:t xml:space="preserve">This summer, the SJC and Appeals Court issued several published decisions </w:t>
      </w:r>
      <w:r w:rsidR="00EF4598">
        <w:rPr>
          <w:szCs w:val="24"/>
        </w:rPr>
        <w:t>relevant</w:t>
      </w:r>
      <w:r>
        <w:rPr>
          <w:szCs w:val="24"/>
        </w:rPr>
        <w:t xml:space="preserve"> to our practice.  Those cases are:</w:t>
      </w:r>
    </w:p>
    <w:p w14:paraId="31CD2A73" w14:textId="77777777" w:rsidR="00A779DA" w:rsidRDefault="00A779DA" w:rsidP="00AC30A0">
      <w:pPr>
        <w:widowControl/>
        <w:rPr>
          <w:szCs w:val="24"/>
        </w:rPr>
      </w:pPr>
    </w:p>
    <w:p w14:paraId="7CECC5B4" w14:textId="65A8BE38" w:rsidR="002F4ED3" w:rsidRPr="006C6A41" w:rsidRDefault="002F4ED3" w:rsidP="006C6A41">
      <w:pPr>
        <w:pStyle w:val="ListParagraph"/>
        <w:widowControl/>
        <w:numPr>
          <w:ilvl w:val="0"/>
          <w:numId w:val="15"/>
        </w:numPr>
        <w:rPr>
          <w:szCs w:val="24"/>
        </w:rPr>
      </w:pPr>
      <w:r w:rsidRPr="006C6A41">
        <w:rPr>
          <w:szCs w:val="24"/>
          <w:u w:val="single"/>
        </w:rPr>
        <w:t>Care and Protection of Vick</w:t>
      </w:r>
      <w:r w:rsidRPr="006C6A41">
        <w:rPr>
          <w:szCs w:val="24"/>
        </w:rPr>
        <w:t>, 89 Mass. App. Ct. 704 (2016)</w:t>
      </w:r>
      <w:r w:rsidR="00FF38FD" w:rsidRPr="006C6A41">
        <w:rPr>
          <w:szCs w:val="24"/>
        </w:rPr>
        <w:t>;</w:t>
      </w:r>
    </w:p>
    <w:p w14:paraId="45F095D9" w14:textId="15966335" w:rsidR="002F4ED3" w:rsidRPr="006C6A41" w:rsidRDefault="002F4ED3" w:rsidP="006C6A41">
      <w:pPr>
        <w:pStyle w:val="ListParagraph"/>
        <w:widowControl/>
        <w:numPr>
          <w:ilvl w:val="0"/>
          <w:numId w:val="15"/>
        </w:numPr>
        <w:rPr>
          <w:szCs w:val="24"/>
        </w:rPr>
      </w:pPr>
      <w:r w:rsidRPr="006C6A41">
        <w:rPr>
          <w:szCs w:val="24"/>
          <w:u w:val="single"/>
        </w:rPr>
        <w:t>Commonwealth v. Grady</w:t>
      </w:r>
      <w:r w:rsidRPr="006C6A41">
        <w:rPr>
          <w:szCs w:val="24"/>
        </w:rPr>
        <w:t>, 474 Mass. 715 (2016)</w:t>
      </w:r>
      <w:r w:rsidR="00FF38FD" w:rsidRPr="006C6A41">
        <w:rPr>
          <w:szCs w:val="24"/>
        </w:rPr>
        <w:t>;</w:t>
      </w:r>
    </w:p>
    <w:p w14:paraId="4FE70C82" w14:textId="45689B35" w:rsidR="00A779DA" w:rsidRPr="006C6A41" w:rsidRDefault="002F4ED3" w:rsidP="006C6A41">
      <w:pPr>
        <w:pStyle w:val="ListParagraph"/>
        <w:widowControl/>
        <w:numPr>
          <w:ilvl w:val="0"/>
          <w:numId w:val="15"/>
        </w:numPr>
        <w:rPr>
          <w:szCs w:val="24"/>
        </w:rPr>
      </w:pPr>
      <w:r w:rsidRPr="006C6A41">
        <w:rPr>
          <w:szCs w:val="24"/>
          <w:u w:val="single"/>
        </w:rPr>
        <w:t>Commonwealth v. Gibson</w:t>
      </w:r>
      <w:r w:rsidRPr="006C6A41">
        <w:rPr>
          <w:szCs w:val="24"/>
        </w:rPr>
        <w:t>, 474 Mass. 726 (2016)</w:t>
      </w:r>
      <w:r w:rsidR="00FF38FD" w:rsidRPr="006C6A41">
        <w:rPr>
          <w:szCs w:val="24"/>
        </w:rPr>
        <w:t>;</w:t>
      </w:r>
    </w:p>
    <w:p w14:paraId="168397D7" w14:textId="59170782" w:rsidR="002F4ED3" w:rsidRPr="006C6A41" w:rsidRDefault="002F4ED3" w:rsidP="006C6A41">
      <w:pPr>
        <w:pStyle w:val="ListParagraph"/>
        <w:widowControl/>
        <w:numPr>
          <w:ilvl w:val="0"/>
          <w:numId w:val="15"/>
        </w:numPr>
        <w:rPr>
          <w:szCs w:val="24"/>
        </w:rPr>
      </w:pPr>
      <w:r w:rsidRPr="006C6A41">
        <w:rPr>
          <w:szCs w:val="24"/>
          <w:u w:val="single"/>
        </w:rPr>
        <w:t>Commonwealth v. Epps</w:t>
      </w:r>
      <w:r w:rsidRPr="006C6A41">
        <w:rPr>
          <w:szCs w:val="24"/>
        </w:rPr>
        <w:t>, 474 Mass. 743 (2016)</w:t>
      </w:r>
      <w:r w:rsidR="00FF38FD" w:rsidRPr="006C6A41">
        <w:rPr>
          <w:szCs w:val="24"/>
        </w:rPr>
        <w:t>; and</w:t>
      </w:r>
    </w:p>
    <w:p w14:paraId="2329CF4E" w14:textId="7E49860E" w:rsidR="002F4ED3" w:rsidRPr="006C6A41" w:rsidRDefault="002F4ED3" w:rsidP="006C6A41">
      <w:pPr>
        <w:pStyle w:val="ListParagraph"/>
        <w:widowControl/>
        <w:numPr>
          <w:ilvl w:val="0"/>
          <w:numId w:val="15"/>
        </w:numPr>
        <w:rPr>
          <w:szCs w:val="24"/>
        </w:rPr>
      </w:pPr>
      <w:r w:rsidRPr="006C6A41">
        <w:rPr>
          <w:szCs w:val="24"/>
          <w:u w:val="single"/>
        </w:rPr>
        <w:t xml:space="preserve">Adoption of </w:t>
      </w:r>
      <w:proofErr w:type="spellStart"/>
      <w:r w:rsidRPr="006C6A41">
        <w:rPr>
          <w:szCs w:val="24"/>
          <w:u w:val="single"/>
        </w:rPr>
        <w:t>Anisha</w:t>
      </w:r>
      <w:proofErr w:type="spellEnd"/>
      <w:r w:rsidRPr="006C6A41">
        <w:rPr>
          <w:szCs w:val="24"/>
        </w:rPr>
        <w:t>, 89 Mass. App. Ct. 822 (2016)</w:t>
      </w:r>
      <w:r w:rsidR="00FF38FD" w:rsidRPr="006C6A41">
        <w:rPr>
          <w:szCs w:val="24"/>
        </w:rPr>
        <w:t>.</w:t>
      </w:r>
    </w:p>
    <w:p w14:paraId="6F56DD38" w14:textId="77777777" w:rsidR="006C7884" w:rsidRDefault="006C7884" w:rsidP="00AC30A0">
      <w:pPr>
        <w:widowControl/>
        <w:rPr>
          <w:szCs w:val="24"/>
        </w:rPr>
      </w:pPr>
    </w:p>
    <w:p w14:paraId="6387FC76" w14:textId="5171E4AB" w:rsidR="00FF38FD" w:rsidRDefault="00FF38FD" w:rsidP="00AC30A0">
      <w:pPr>
        <w:widowControl/>
        <w:rPr>
          <w:szCs w:val="24"/>
        </w:rPr>
      </w:pPr>
      <w:r>
        <w:rPr>
          <w:szCs w:val="24"/>
        </w:rPr>
        <w:t>The CAFL Training Unit has written summaries of these cases available on our website at</w:t>
      </w:r>
      <w:r w:rsidR="00EF4598">
        <w:rPr>
          <w:szCs w:val="24"/>
        </w:rPr>
        <w:t>:</w:t>
      </w:r>
      <w:r>
        <w:rPr>
          <w:szCs w:val="24"/>
        </w:rPr>
        <w:t xml:space="preserve"> </w:t>
      </w:r>
      <w:hyperlink r:id="rId9" w:history="1">
        <w:r w:rsidR="00E91F56" w:rsidRPr="0092226C">
          <w:rPr>
            <w:rStyle w:val="Hyperlink"/>
            <w:szCs w:val="24"/>
          </w:rPr>
          <w:t>https://www.publiccounsel.net/cafl/professional/relevant-statutes-and-case-law/summaries-of-recent-decisions/</w:t>
        </w:r>
      </w:hyperlink>
      <w:r w:rsidR="00E91F56">
        <w:rPr>
          <w:szCs w:val="24"/>
        </w:rPr>
        <w:t xml:space="preserve">. </w:t>
      </w:r>
    </w:p>
    <w:p w14:paraId="3F9FE470" w14:textId="77777777" w:rsidR="000250F3" w:rsidRDefault="000250F3" w:rsidP="00AC30A0">
      <w:pPr>
        <w:widowControl/>
        <w:rPr>
          <w:szCs w:val="24"/>
        </w:rPr>
      </w:pPr>
    </w:p>
    <w:p w14:paraId="23B045C8" w14:textId="7505FA08" w:rsidR="00AC30A0" w:rsidRPr="006C6A41" w:rsidRDefault="006C6A41" w:rsidP="006C6A41">
      <w:pPr>
        <w:pStyle w:val="ListParagraph"/>
        <w:widowControl/>
        <w:numPr>
          <w:ilvl w:val="0"/>
          <w:numId w:val="16"/>
        </w:numPr>
        <w:ind w:hanging="720"/>
        <w:rPr>
          <w:szCs w:val="24"/>
          <w:u w:val="single"/>
        </w:rPr>
      </w:pPr>
      <w:r w:rsidRPr="006C6A41">
        <w:rPr>
          <w:szCs w:val="24"/>
          <w:u w:val="single"/>
        </w:rPr>
        <w:t>Unpublished Decisions</w:t>
      </w:r>
    </w:p>
    <w:p w14:paraId="13BC7FAB" w14:textId="77777777" w:rsidR="006C6A41" w:rsidRDefault="006C6A41" w:rsidP="00F53F56">
      <w:pPr>
        <w:rPr>
          <w:b/>
          <w:u w:val="single"/>
        </w:rPr>
      </w:pPr>
    </w:p>
    <w:p w14:paraId="56056F63" w14:textId="73FFEDDB" w:rsidR="006C6A41" w:rsidRPr="00831DCF" w:rsidRDefault="006C6A41" w:rsidP="00831DCF">
      <w:pPr>
        <w:rPr>
          <w:i/>
        </w:rPr>
      </w:pPr>
      <w:r w:rsidRPr="00831DCF">
        <w:rPr>
          <w:i/>
        </w:rPr>
        <w:t>Citing to Rule 1:28 Decisions</w:t>
      </w:r>
    </w:p>
    <w:p w14:paraId="298EFF6F" w14:textId="77777777" w:rsidR="006C6A41" w:rsidRDefault="006C6A41" w:rsidP="00F53F56"/>
    <w:p w14:paraId="3C71BD95" w14:textId="553481C2" w:rsidR="00F53F56" w:rsidRDefault="006C6A41" w:rsidP="00F53F56">
      <w:r>
        <w:t>We still see briefs where Rule 1:28 decisions are cited incorrectly</w:t>
      </w:r>
      <w:r w:rsidR="00EF4598">
        <w:t>.</w:t>
      </w:r>
      <w:r>
        <w:t xml:space="preserve">  If</w:t>
      </w:r>
      <w:r w:rsidR="00F53F56" w:rsidRPr="00846B37">
        <w:t xml:space="preserve"> you cite to a </w:t>
      </w:r>
      <w:r w:rsidR="00F53F56">
        <w:t xml:space="preserve">Rule </w:t>
      </w:r>
      <w:r w:rsidR="00F53F56" w:rsidRPr="00846B37">
        <w:t>1:28 decision in your brief</w:t>
      </w:r>
      <w:r w:rsidR="00F53F56">
        <w:t xml:space="preserve"> or </w:t>
      </w:r>
      <w:r w:rsidR="00F53F56" w:rsidRPr="00846B37">
        <w:t>motion, you must</w:t>
      </w:r>
      <w:r w:rsidR="00F53F56">
        <w:t>:</w:t>
      </w:r>
    </w:p>
    <w:p w14:paraId="7282D23F" w14:textId="77777777" w:rsidR="000C45C5" w:rsidRDefault="000C45C5" w:rsidP="00F53F56"/>
    <w:p w14:paraId="1FC8A1EA" w14:textId="77777777" w:rsidR="00F53F56" w:rsidRDefault="00F53F56" w:rsidP="00F53F56">
      <w:pPr>
        <w:ind w:left="1080" w:hanging="360"/>
      </w:pPr>
      <w:r>
        <w:t xml:space="preserve">(a) </w:t>
      </w:r>
      <w:proofErr w:type="gramStart"/>
      <w:r w:rsidRPr="00846B37">
        <w:t>attach</w:t>
      </w:r>
      <w:proofErr w:type="gramEnd"/>
      <w:r w:rsidRPr="00846B37">
        <w:t xml:space="preserve"> a copy of the decision as an addendum</w:t>
      </w:r>
      <w:r>
        <w:t xml:space="preserve">; and </w:t>
      </w:r>
    </w:p>
    <w:p w14:paraId="6EF85E8E" w14:textId="77777777" w:rsidR="00F53F56" w:rsidRDefault="00F53F56" w:rsidP="00F53F56">
      <w:pPr>
        <w:ind w:left="1080" w:hanging="360"/>
      </w:pPr>
      <w:r>
        <w:t xml:space="preserve">(b) </w:t>
      </w:r>
      <w:proofErr w:type="gramStart"/>
      <w:r>
        <w:t>cite</w:t>
      </w:r>
      <w:proofErr w:type="gramEnd"/>
      <w:r>
        <w:t xml:space="preserv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14:paraId="4950518A" w14:textId="77777777" w:rsidR="00F53F56" w:rsidRDefault="00F53F56" w:rsidP="00F53F56"/>
    <w:p w14:paraId="21D4BA6D" w14:textId="4199206D" w:rsidR="006C6A41" w:rsidRDefault="00F53F56" w:rsidP="006C6A41">
      <w:pPr>
        <w:widowControl/>
      </w:pPr>
      <w:r>
        <w:t xml:space="preserve">Rule </w:t>
      </w:r>
      <w:r w:rsidRPr="00846B37">
        <w:t>1:28</w:t>
      </w:r>
      <w:r>
        <w:t xml:space="preserve"> decisions are now </w:t>
      </w:r>
      <w:r w:rsidR="00A52A8D">
        <w:t>available</w:t>
      </w:r>
      <w:r w:rsidRPr="00846B37">
        <w:t xml:space="preserve"> at:</w:t>
      </w:r>
      <w:r w:rsidRPr="00EE40C8">
        <w:t xml:space="preserve"> </w:t>
      </w:r>
      <w:hyperlink r:id="rId10" w:history="1">
        <w:r w:rsidRPr="00510850">
          <w:rPr>
            <w:rStyle w:val="Hyperlink"/>
          </w:rPr>
          <w:t>https://www.lexisnexis.com/clients/macourts/</w:t>
        </w:r>
      </w:hyperlink>
      <w:r>
        <w:t>.  (Check off that you agree to the terms of usage, and click on “Begin Searching Opinions,” then select “Search by Party Name” (on the left border), then select “Appeals Court Unpublished Decisions.”</w:t>
      </w:r>
      <w:r w:rsidR="00A52A8D">
        <w:t xml:space="preserve">) </w:t>
      </w:r>
      <w:r>
        <w:t xml:space="preserve"> To find child welfare Rule 1:28 decisions, type in the first “party” box “adoption or care or custody or guardianship.”  Unfortunately, the free LEXIS search engine limits you to the most recent 25 cases.</w:t>
      </w:r>
      <w:r w:rsidRPr="00D227A3">
        <w:t xml:space="preserve"> </w:t>
      </w:r>
      <w:r>
        <w:t xml:space="preserve">To find a specific case, enter the case name.  </w:t>
      </w:r>
    </w:p>
    <w:p w14:paraId="278936BB" w14:textId="77777777" w:rsidR="006C6A41" w:rsidRDefault="006C6A41" w:rsidP="006C6A41">
      <w:pPr>
        <w:widowControl/>
      </w:pPr>
    </w:p>
    <w:p w14:paraId="4AE24FE2" w14:textId="0AEA4B17" w:rsidR="006C6A41" w:rsidRPr="00831DCF" w:rsidRDefault="006C6A41" w:rsidP="00831DCF">
      <w:pPr>
        <w:widowControl/>
        <w:rPr>
          <w:i/>
          <w:szCs w:val="24"/>
        </w:rPr>
      </w:pPr>
      <w:r w:rsidRPr="00831DCF">
        <w:rPr>
          <w:i/>
          <w:szCs w:val="24"/>
        </w:rPr>
        <w:t>Recent Rule 1:28 Decisions</w:t>
      </w:r>
    </w:p>
    <w:p w14:paraId="671F65EB" w14:textId="77777777" w:rsidR="006C6A41" w:rsidRDefault="006C6A41" w:rsidP="006C6A41">
      <w:pPr>
        <w:widowControl/>
        <w:rPr>
          <w:b/>
          <w:szCs w:val="24"/>
          <w:u w:val="single"/>
        </w:rPr>
      </w:pPr>
    </w:p>
    <w:p w14:paraId="3A95D9E3" w14:textId="77777777" w:rsidR="006C6A41" w:rsidRPr="00544C81" w:rsidRDefault="006C6A41" w:rsidP="00831DCF">
      <w:pPr>
        <w:widowControl/>
        <w:rPr>
          <w:szCs w:val="24"/>
        </w:rPr>
      </w:pPr>
      <w:r>
        <w:rPr>
          <w:szCs w:val="24"/>
        </w:rPr>
        <w:t>This bulletin catches us up through February 29, 2016.  We have not summarized all unpublished child welfare decisions; rather, we include only those with interesting facts and/or legal issues.  If we left out one of your Rule 1:28 decisions, and it has a useful tidbit in it, please let us know.</w:t>
      </w:r>
    </w:p>
    <w:p w14:paraId="295500F6" w14:textId="77777777" w:rsidR="00F53F56" w:rsidRDefault="00F53F56" w:rsidP="00D32F76">
      <w:pPr>
        <w:ind w:firstLine="720"/>
      </w:pPr>
    </w:p>
    <w:p w14:paraId="5A62D0A8" w14:textId="77777777" w:rsidR="00EF4598" w:rsidRPr="0094473F" w:rsidRDefault="00EF4598" w:rsidP="00D32F76">
      <w:pPr>
        <w:ind w:firstLine="720"/>
      </w:pPr>
    </w:p>
    <w:p w14:paraId="112FCBDF" w14:textId="33E6CA7E" w:rsidR="00D32F76" w:rsidRPr="005837EA" w:rsidRDefault="00D32F76" w:rsidP="005837EA">
      <w:pPr>
        <w:pStyle w:val="ListParagraph"/>
        <w:numPr>
          <w:ilvl w:val="0"/>
          <w:numId w:val="19"/>
        </w:numPr>
        <w:ind w:left="0" w:firstLine="0"/>
        <w:rPr>
          <w:rFonts w:eastAsia="Arial Unicode MS" w:hAnsi="Arial Unicode MS" w:cs="Arial Unicode MS"/>
          <w:bCs/>
          <w:snapToGrid/>
          <w:color w:val="000000"/>
          <w:szCs w:val="24"/>
        </w:rPr>
      </w:pPr>
      <w:r w:rsidRPr="005837EA">
        <w:rPr>
          <w:rFonts w:eastAsia="Arial Unicode MS" w:hAnsi="Arial Unicode MS" w:cs="Arial Unicode MS"/>
          <w:b/>
          <w:bCs/>
          <w:snapToGrid/>
          <w:color w:val="000000"/>
          <w:szCs w:val="24"/>
          <w:u w:val="single"/>
        </w:rPr>
        <w:lastRenderedPageBreak/>
        <w:t xml:space="preserve">Adoption of </w:t>
      </w:r>
      <w:proofErr w:type="spellStart"/>
      <w:r w:rsidRPr="005837EA">
        <w:rPr>
          <w:rFonts w:eastAsia="Arial Unicode MS" w:hAnsi="Arial Unicode MS" w:cs="Arial Unicode MS"/>
          <w:b/>
          <w:bCs/>
          <w:snapToGrid/>
          <w:color w:val="000000"/>
          <w:szCs w:val="24"/>
          <w:u w:val="single"/>
        </w:rPr>
        <w:t>Penrod</w:t>
      </w:r>
      <w:proofErr w:type="spellEnd"/>
      <w:r w:rsidRPr="005837EA">
        <w:rPr>
          <w:rFonts w:eastAsia="Arial Unicode MS" w:hAnsi="Arial Unicode MS" w:cs="Arial Unicode MS"/>
          <w:b/>
          <w:bCs/>
          <w:snapToGrid/>
          <w:color w:val="000000"/>
          <w:szCs w:val="24"/>
        </w:rPr>
        <w:t>, 88 Mass. App. Ct. 1106, No. 14-P-1939 (Sept. 30, 2015).</w:t>
      </w:r>
    </w:p>
    <w:p w14:paraId="5DBF80AE" w14:textId="77777777" w:rsidR="00D32F76" w:rsidRDefault="00D32F76" w:rsidP="005837EA">
      <w:pPr>
        <w:rPr>
          <w:rFonts w:eastAsia="Arial Unicode MS" w:hAnsi="Arial Unicode MS" w:cs="Arial Unicode MS"/>
          <w:bCs/>
          <w:snapToGrid/>
          <w:color w:val="000000"/>
          <w:szCs w:val="24"/>
        </w:rPr>
      </w:pPr>
    </w:p>
    <w:p w14:paraId="3F0C055C" w14:textId="55BF3821" w:rsidR="005837EA" w:rsidRDefault="005837EA" w:rsidP="005837EA">
      <w:pPr>
        <w:pStyle w:val="ListParagraph"/>
        <w:widowControl/>
        <w:ind w:left="0"/>
        <w:contextualSpacing w:val="0"/>
        <w:rPr>
          <w:rFonts w:eastAsia="Arial Unicode MS"/>
          <w:bCs/>
          <w:snapToGrid/>
          <w:color w:val="000000"/>
          <w:szCs w:val="24"/>
        </w:rPr>
      </w:pPr>
      <w:r w:rsidRPr="0020442E">
        <w:rPr>
          <w:rFonts w:eastAsia="Arial Unicode MS"/>
          <w:bCs/>
          <w:snapToGrid/>
          <w:color w:val="000000"/>
          <w:szCs w:val="24"/>
        </w:rPr>
        <w:t>The mother signed a stipulation and “affidavit of voluntariness,” agreeing to the termination of her parental rights, then she left the courthouse.  Her attorney filed the</w:t>
      </w:r>
      <w:r w:rsidR="00150F55">
        <w:rPr>
          <w:rFonts w:eastAsia="Arial Unicode MS"/>
          <w:bCs/>
          <w:snapToGrid/>
          <w:color w:val="000000"/>
          <w:szCs w:val="24"/>
        </w:rPr>
        <w:t xml:space="preserve"> stipulation and affidavit</w:t>
      </w:r>
      <w:r w:rsidRPr="0020442E">
        <w:rPr>
          <w:rFonts w:eastAsia="Arial Unicode MS"/>
          <w:bCs/>
          <w:snapToGrid/>
          <w:color w:val="000000"/>
          <w:szCs w:val="24"/>
        </w:rPr>
        <w:t xml:space="preserve">, and the court terminated the mother’s rights.  Mother later filed a motion to withdraw the stipulation and vacate the decree.  After the judge denied the motion, she appealed.  She argued that the court erred in terminating her rights without a colloquy and that her trial counsel was ineffective for failing to object to the lack of a colloquy and for submitting the signed paperwork after she had left the building.  </w:t>
      </w:r>
    </w:p>
    <w:p w14:paraId="4B367C47" w14:textId="77777777" w:rsidR="005837EA" w:rsidRDefault="005837EA" w:rsidP="005837EA">
      <w:pPr>
        <w:pStyle w:val="ListParagraph"/>
        <w:widowControl/>
        <w:ind w:left="0"/>
        <w:contextualSpacing w:val="0"/>
        <w:rPr>
          <w:rFonts w:eastAsia="Arial Unicode MS"/>
          <w:bCs/>
          <w:snapToGrid/>
          <w:color w:val="000000"/>
          <w:szCs w:val="24"/>
        </w:rPr>
      </w:pPr>
    </w:p>
    <w:p w14:paraId="044A922E" w14:textId="63031205" w:rsidR="005837EA" w:rsidRDefault="005837EA" w:rsidP="005837EA">
      <w:pPr>
        <w:pStyle w:val="ListParagraph"/>
        <w:widowControl/>
        <w:ind w:left="0"/>
        <w:contextualSpacing w:val="0"/>
        <w:rPr>
          <w:rFonts w:eastAsia="Arial Unicode MS"/>
          <w:bCs/>
          <w:snapToGrid/>
          <w:color w:val="000000"/>
          <w:szCs w:val="24"/>
        </w:rPr>
      </w:pPr>
      <w:r w:rsidRPr="0020442E">
        <w:rPr>
          <w:rFonts w:eastAsia="Arial Unicode MS"/>
          <w:bCs/>
          <w:snapToGrid/>
          <w:color w:val="000000"/>
          <w:szCs w:val="24"/>
        </w:rPr>
        <w:t xml:space="preserve">The panel disagreed.  The affidavit showed that the mother’s stipulation </w:t>
      </w:r>
      <w:proofErr w:type="gramStart"/>
      <w:r w:rsidRPr="0020442E">
        <w:rPr>
          <w:rFonts w:eastAsia="Arial Unicode MS"/>
          <w:bCs/>
          <w:snapToGrid/>
          <w:color w:val="000000"/>
          <w:szCs w:val="24"/>
        </w:rPr>
        <w:t>was knowing</w:t>
      </w:r>
      <w:proofErr w:type="gramEnd"/>
      <w:r w:rsidRPr="0020442E">
        <w:rPr>
          <w:rFonts w:eastAsia="Arial Unicode MS"/>
          <w:bCs/>
          <w:snapToGrid/>
          <w:color w:val="000000"/>
          <w:szCs w:val="24"/>
        </w:rPr>
        <w:t xml:space="preserve"> and voluntary, the trial attorney had reviewed the stipulation with </w:t>
      </w:r>
      <w:r w:rsidR="00150F55">
        <w:rPr>
          <w:rFonts w:eastAsia="Arial Unicode MS"/>
          <w:bCs/>
          <w:snapToGrid/>
          <w:color w:val="000000"/>
          <w:szCs w:val="24"/>
        </w:rPr>
        <w:t>her</w:t>
      </w:r>
      <w:r w:rsidRPr="0020442E">
        <w:rPr>
          <w:rFonts w:eastAsia="Arial Unicode MS"/>
          <w:bCs/>
          <w:snapToGrid/>
          <w:color w:val="000000"/>
          <w:szCs w:val="24"/>
        </w:rPr>
        <w:t xml:space="preserve"> line by line, and there is no requirement for a trial judge to conduct an oral colloquy to confirm that entry into a stipulation is knowing and voluntary.  </w:t>
      </w:r>
      <w:r w:rsidRPr="0020442E">
        <w:rPr>
          <w:rFonts w:eastAsia="Arial Unicode MS"/>
          <w:bCs/>
          <w:snapToGrid/>
          <w:color w:val="000000"/>
          <w:szCs w:val="24"/>
          <w:u w:val="single"/>
        </w:rPr>
        <w:t>See</w:t>
      </w:r>
      <w:r w:rsidRPr="0020442E">
        <w:rPr>
          <w:rFonts w:eastAsia="Arial Unicode MS"/>
          <w:bCs/>
          <w:snapToGrid/>
          <w:color w:val="000000"/>
          <w:szCs w:val="24"/>
        </w:rPr>
        <w:t xml:space="preserve"> </w:t>
      </w:r>
      <w:r w:rsidRPr="0020442E">
        <w:rPr>
          <w:rFonts w:eastAsia="Arial Unicode MS"/>
          <w:bCs/>
          <w:snapToGrid/>
          <w:color w:val="000000"/>
          <w:szCs w:val="24"/>
          <w:u w:val="single"/>
        </w:rPr>
        <w:t>also</w:t>
      </w:r>
      <w:r w:rsidRPr="0020442E">
        <w:rPr>
          <w:rFonts w:eastAsia="Arial Unicode MS"/>
          <w:bCs/>
          <w:snapToGrid/>
          <w:color w:val="000000"/>
          <w:szCs w:val="24"/>
        </w:rPr>
        <w:t xml:space="preserve"> </w:t>
      </w:r>
      <w:r w:rsidRPr="0020442E">
        <w:rPr>
          <w:rFonts w:eastAsia="Arial Unicode MS"/>
          <w:bCs/>
          <w:snapToGrid/>
          <w:color w:val="000000"/>
          <w:szCs w:val="24"/>
          <w:u w:val="single"/>
        </w:rPr>
        <w:t>Adoption of John</w:t>
      </w:r>
      <w:r w:rsidRPr="0020442E">
        <w:rPr>
          <w:rFonts w:eastAsia="Arial Unicode MS"/>
          <w:bCs/>
          <w:snapToGrid/>
          <w:color w:val="000000"/>
          <w:szCs w:val="24"/>
        </w:rPr>
        <w:t xml:space="preserve">, 53 Mass. App. Ct. 431, 435 (2001).  Because there is no requirement for a colloquy, the trial attorney was not ineffective for failing to insist on one.  The panel refused to address whether the trial attorney was ineffective for submitting the signed paperwork in mother’s absence because the mother had not raised it in her motion to vacate the decree.  </w:t>
      </w:r>
    </w:p>
    <w:p w14:paraId="3BD68EC8" w14:textId="77777777" w:rsidR="005837EA" w:rsidRDefault="005837EA" w:rsidP="005837EA">
      <w:pPr>
        <w:pStyle w:val="ListParagraph"/>
        <w:widowControl/>
        <w:ind w:left="0"/>
        <w:contextualSpacing w:val="0"/>
        <w:rPr>
          <w:rFonts w:eastAsia="Arial Unicode MS"/>
          <w:bCs/>
          <w:snapToGrid/>
          <w:color w:val="000000"/>
          <w:szCs w:val="24"/>
        </w:rPr>
      </w:pPr>
    </w:p>
    <w:p w14:paraId="31305E9B" w14:textId="5383CA74" w:rsidR="005837EA" w:rsidRPr="0020442E" w:rsidRDefault="005837EA" w:rsidP="005837EA">
      <w:pPr>
        <w:pStyle w:val="ListParagraph"/>
        <w:widowControl/>
        <w:ind w:left="0"/>
        <w:contextualSpacing w:val="0"/>
        <w:rPr>
          <w:rFonts w:eastAsia="Arial Unicode MS"/>
          <w:bCs/>
          <w:snapToGrid/>
          <w:color w:val="000000"/>
          <w:szCs w:val="24"/>
        </w:rPr>
      </w:pPr>
      <w:r w:rsidRPr="0020442E">
        <w:rPr>
          <w:rFonts w:eastAsia="Arial Unicode MS"/>
          <w:bCs/>
          <w:snapToGrid/>
          <w:color w:val="000000"/>
          <w:szCs w:val="24"/>
        </w:rPr>
        <w:t xml:space="preserve">What should we take from </w:t>
      </w:r>
      <w:proofErr w:type="spellStart"/>
      <w:r w:rsidRPr="0020442E">
        <w:rPr>
          <w:rFonts w:eastAsia="Arial Unicode MS"/>
          <w:bCs/>
          <w:snapToGrid/>
          <w:color w:val="000000"/>
          <w:szCs w:val="24"/>
          <w:u w:val="single"/>
        </w:rPr>
        <w:t>Penrod</w:t>
      </w:r>
      <w:proofErr w:type="spellEnd"/>
      <w:r w:rsidRPr="0020442E">
        <w:rPr>
          <w:rFonts w:eastAsia="Arial Unicode MS"/>
          <w:bCs/>
          <w:snapToGrid/>
          <w:color w:val="000000"/>
          <w:szCs w:val="24"/>
        </w:rPr>
        <w:t xml:space="preserve">?  If your client is stipulating to judgment, review any stipulation with her line by line, and make sure you have enough time to answer all of her questions.  While a colloquy isn’t essential, it is still good practice – and protective of counsel’s interests – to ask the judge to conduct one.  Listen closely to the judge’s questions (and the client’s answers) during the colloquy.  Make sure the judge inquires as to whether the client understands the consequences and finality of the stipulation, particularly whether there are any contingencies about placement or post-adoption contact.  </w:t>
      </w:r>
      <w:r w:rsidR="00150F55">
        <w:rPr>
          <w:rFonts w:eastAsia="Arial Unicode MS"/>
          <w:bCs/>
          <w:snapToGrid/>
          <w:color w:val="000000"/>
          <w:szCs w:val="24"/>
        </w:rPr>
        <w:t xml:space="preserve">Most stipulations have no such contingencies, but many stipulating parents believe otherwise.  </w:t>
      </w:r>
      <w:r w:rsidRPr="0020442E">
        <w:rPr>
          <w:rFonts w:eastAsia="Arial Unicode MS"/>
          <w:bCs/>
          <w:snapToGrid/>
          <w:color w:val="000000"/>
          <w:szCs w:val="24"/>
        </w:rPr>
        <w:t>Also make sure that the judge asks whether the client has reviewed the stipulation with counsel and whether the client is satisfied with counsel’s explanation of the document.</w:t>
      </w:r>
      <w:r w:rsidR="00831DCF">
        <w:rPr>
          <w:rFonts w:eastAsia="Arial Unicode MS"/>
          <w:bCs/>
          <w:snapToGrid/>
          <w:color w:val="000000"/>
          <w:szCs w:val="24"/>
        </w:rPr>
        <w:t xml:space="preserve">  </w:t>
      </w:r>
      <w:r w:rsidR="00446471">
        <w:rPr>
          <w:rFonts w:eastAsia="Arial Unicode MS"/>
          <w:bCs/>
          <w:snapToGrid/>
          <w:color w:val="000000"/>
          <w:szCs w:val="24"/>
        </w:rPr>
        <w:t>Are</w:t>
      </w:r>
      <w:r w:rsidR="00831DCF">
        <w:rPr>
          <w:rFonts w:eastAsia="Arial Unicode MS"/>
          <w:bCs/>
          <w:snapToGrid/>
          <w:color w:val="000000"/>
          <w:szCs w:val="24"/>
        </w:rPr>
        <w:t xml:space="preserve"> these self-serving questions?  Yes, but a healthy measure of self-protection is warranted; most challenges to stipulations involve allegations by parents that their trial counsel failed to review the stipulation with them or failed to explain it to them adequately.  </w:t>
      </w:r>
    </w:p>
    <w:p w14:paraId="5C8EB0CC" w14:textId="77777777" w:rsidR="005837EA" w:rsidRDefault="005837EA" w:rsidP="005837EA">
      <w:pPr>
        <w:rPr>
          <w:rFonts w:eastAsia="Arial Unicode MS" w:hAnsi="Arial Unicode MS" w:cs="Arial Unicode MS"/>
          <w:bCs/>
          <w:snapToGrid/>
          <w:color w:val="000000"/>
          <w:szCs w:val="24"/>
        </w:rPr>
      </w:pPr>
    </w:p>
    <w:p w14:paraId="5D74B057" w14:textId="260DCBFA" w:rsidR="00BD7869" w:rsidRPr="00BD7869" w:rsidRDefault="00BD7869" w:rsidP="005837EA">
      <w:pPr>
        <w:pStyle w:val="ListParagraph"/>
        <w:numPr>
          <w:ilvl w:val="0"/>
          <w:numId w:val="18"/>
        </w:numPr>
        <w:ind w:left="0" w:firstLine="0"/>
        <w:rPr>
          <w:rFonts w:eastAsiaTheme="minorHAnsi"/>
          <w:b/>
          <w:snapToGrid/>
          <w:szCs w:val="24"/>
        </w:rPr>
      </w:pPr>
      <w:r w:rsidRPr="00A40457">
        <w:rPr>
          <w:rFonts w:eastAsiaTheme="minorHAnsi"/>
          <w:b/>
          <w:snapToGrid/>
          <w:szCs w:val="24"/>
          <w:u w:val="single"/>
        </w:rPr>
        <w:t>Adoption of Becky</w:t>
      </w:r>
      <w:r w:rsidRPr="00BD7869">
        <w:rPr>
          <w:rFonts w:eastAsiaTheme="minorHAnsi"/>
          <w:b/>
          <w:snapToGrid/>
          <w:szCs w:val="24"/>
        </w:rPr>
        <w:t>, 88 Mass. App. Ct. 1107, No. 14-P-1624 (October 2, 2015).</w:t>
      </w:r>
    </w:p>
    <w:p w14:paraId="5FCF12B6" w14:textId="77777777" w:rsidR="00BD7869" w:rsidRDefault="00BD7869" w:rsidP="00BD7869">
      <w:pPr>
        <w:pStyle w:val="ListParagraph"/>
        <w:ind w:left="1080"/>
        <w:rPr>
          <w:rFonts w:eastAsiaTheme="minorHAnsi"/>
          <w:snapToGrid/>
          <w:szCs w:val="24"/>
        </w:rPr>
      </w:pPr>
    </w:p>
    <w:p w14:paraId="4669F6E6" w14:textId="1E2CB2FE" w:rsidR="00BD7869" w:rsidRDefault="00BD7869" w:rsidP="005837EA">
      <w:pPr>
        <w:pStyle w:val="ListParagraph"/>
        <w:ind w:left="0"/>
        <w:rPr>
          <w:rFonts w:eastAsiaTheme="minorHAnsi"/>
          <w:snapToGrid/>
          <w:szCs w:val="24"/>
        </w:rPr>
      </w:pPr>
      <w:r>
        <w:rPr>
          <w:rFonts w:eastAsiaTheme="minorHAnsi"/>
          <w:snapToGrid/>
          <w:szCs w:val="24"/>
        </w:rPr>
        <w:t xml:space="preserve">This case </w:t>
      </w:r>
      <w:r w:rsidR="00EF4598">
        <w:rPr>
          <w:rFonts w:eastAsiaTheme="minorHAnsi"/>
          <w:snapToGrid/>
          <w:szCs w:val="24"/>
        </w:rPr>
        <w:t>offers a valuable</w:t>
      </w:r>
      <w:r>
        <w:rPr>
          <w:rFonts w:eastAsiaTheme="minorHAnsi"/>
          <w:snapToGrid/>
          <w:szCs w:val="24"/>
        </w:rPr>
        <w:t xml:space="preserve"> lesson for trial lawyers regarding issue preservation.  The mother and Becky lived with mother’s friend and boyfriend.  The boyfriend sexually abused all of the friend’s children and Becky.  The friend’s children were removed and, after mother refused to take Becky for a trauma evaluation, Becky was also removed.  Mother’s rights were later terminated based in part on her refusal to believe that Becky had been sexually abused.  </w:t>
      </w:r>
    </w:p>
    <w:p w14:paraId="0CC6E286" w14:textId="77777777" w:rsidR="00BD7869" w:rsidRDefault="00BD7869" w:rsidP="00BD7869">
      <w:pPr>
        <w:pStyle w:val="ListParagraph"/>
        <w:ind w:left="0"/>
        <w:rPr>
          <w:rFonts w:eastAsiaTheme="minorHAnsi"/>
          <w:snapToGrid/>
          <w:szCs w:val="24"/>
        </w:rPr>
      </w:pPr>
    </w:p>
    <w:p w14:paraId="32C20837" w14:textId="71D5969D" w:rsidR="00EF4598" w:rsidRDefault="00BD7869" w:rsidP="00BD7869">
      <w:pPr>
        <w:pStyle w:val="ListParagraph"/>
        <w:ind w:left="0"/>
        <w:rPr>
          <w:rFonts w:eastAsiaTheme="minorHAnsi"/>
          <w:snapToGrid/>
          <w:szCs w:val="24"/>
        </w:rPr>
      </w:pPr>
      <w:r>
        <w:rPr>
          <w:rFonts w:eastAsiaTheme="minorHAnsi"/>
          <w:snapToGrid/>
          <w:szCs w:val="24"/>
        </w:rPr>
        <w:t>The mother argued on appeal that the trial court erred in denying her motion for access to her friend’s DCF file</w:t>
      </w:r>
      <w:r w:rsidR="00200824">
        <w:rPr>
          <w:rFonts w:eastAsiaTheme="minorHAnsi"/>
          <w:snapToGrid/>
          <w:szCs w:val="24"/>
        </w:rPr>
        <w:t>, which contained information about sexual abuse</w:t>
      </w:r>
      <w:r w:rsidR="00EF4598">
        <w:rPr>
          <w:rFonts w:eastAsiaTheme="minorHAnsi"/>
          <w:snapToGrid/>
          <w:szCs w:val="24"/>
        </w:rPr>
        <w:t>.  She needed the file in order</w:t>
      </w:r>
      <w:r>
        <w:rPr>
          <w:rFonts w:eastAsiaTheme="minorHAnsi"/>
          <w:snapToGrid/>
          <w:szCs w:val="24"/>
        </w:rPr>
        <w:t xml:space="preserve"> to prepare for cross</w:t>
      </w:r>
      <w:r w:rsidR="00EF4598">
        <w:rPr>
          <w:rFonts w:eastAsiaTheme="minorHAnsi"/>
          <w:snapToGrid/>
          <w:szCs w:val="24"/>
        </w:rPr>
        <w:t>-examination</w:t>
      </w:r>
      <w:r>
        <w:rPr>
          <w:rFonts w:eastAsiaTheme="minorHAnsi"/>
          <w:snapToGrid/>
          <w:szCs w:val="24"/>
        </w:rPr>
        <w:t xml:space="preserve"> of Becky’s clinical trauma evaluator.  </w:t>
      </w:r>
      <w:r w:rsidR="002C6FF8">
        <w:rPr>
          <w:rFonts w:eastAsiaTheme="minorHAnsi"/>
          <w:snapToGrid/>
          <w:szCs w:val="24"/>
        </w:rPr>
        <w:t>According to the panel, t</w:t>
      </w:r>
      <w:r>
        <w:rPr>
          <w:rFonts w:eastAsiaTheme="minorHAnsi"/>
          <w:snapToGrid/>
          <w:szCs w:val="24"/>
        </w:rPr>
        <w:t xml:space="preserve">he issue had not been preserved because the “mother failed to object to the </w:t>
      </w:r>
      <w:r w:rsidR="00EF4598">
        <w:rPr>
          <w:rFonts w:eastAsiaTheme="minorHAnsi"/>
          <w:snapToGrid/>
          <w:szCs w:val="24"/>
        </w:rPr>
        <w:t>[trauma evaluator’s]</w:t>
      </w:r>
      <w:r>
        <w:rPr>
          <w:rFonts w:eastAsiaTheme="minorHAnsi"/>
          <w:snapToGrid/>
          <w:szCs w:val="24"/>
        </w:rPr>
        <w:t xml:space="preserve"> testimony or move to strike it.”  </w:t>
      </w:r>
      <w:r w:rsidR="00A40457">
        <w:rPr>
          <w:rFonts w:eastAsiaTheme="minorHAnsi"/>
          <w:snapToGrid/>
          <w:szCs w:val="24"/>
        </w:rPr>
        <w:t xml:space="preserve">At trial, mother cross-examined the trauma evaluator but “did </w:t>
      </w:r>
      <w:r w:rsidR="00A40457">
        <w:rPr>
          <w:rFonts w:eastAsiaTheme="minorHAnsi"/>
          <w:snapToGrid/>
          <w:szCs w:val="24"/>
        </w:rPr>
        <w:lastRenderedPageBreak/>
        <w:t xml:space="preserve">not claim below and has not demonstrated on appeal that access to [key portions of the friend’s DCF file] was necessary to the mother’s case.”  </w:t>
      </w:r>
    </w:p>
    <w:p w14:paraId="2482F858" w14:textId="77777777" w:rsidR="00EF4598" w:rsidRDefault="00EF4598" w:rsidP="00BD7869">
      <w:pPr>
        <w:pStyle w:val="ListParagraph"/>
        <w:ind w:left="0"/>
        <w:rPr>
          <w:rFonts w:eastAsiaTheme="minorHAnsi"/>
          <w:snapToGrid/>
          <w:szCs w:val="24"/>
        </w:rPr>
      </w:pPr>
    </w:p>
    <w:p w14:paraId="108EF2E0" w14:textId="6DF8D948" w:rsidR="002C6FF8" w:rsidRDefault="00A40457" w:rsidP="00BD7869">
      <w:pPr>
        <w:pStyle w:val="ListParagraph"/>
        <w:ind w:left="0"/>
        <w:rPr>
          <w:rFonts w:eastAsiaTheme="minorHAnsi"/>
          <w:snapToGrid/>
          <w:szCs w:val="24"/>
        </w:rPr>
      </w:pPr>
      <w:r>
        <w:rPr>
          <w:rFonts w:eastAsiaTheme="minorHAnsi"/>
          <w:snapToGrid/>
          <w:szCs w:val="24"/>
        </w:rPr>
        <w:t>Accordingly, it is not sufficient to move for access to</w:t>
      </w:r>
      <w:r w:rsidR="00EF4598">
        <w:rPr>
          <w:rFonts w:eastAsiaTheme="minorHAnsi"/>
          <w:snapToGrid/>
          <w:szCs w:val="24"/>
        </w:rPr>
        <w:t>, or turnover of,</w:t>
      </w:r>
      <w:r>
        <w:rPr>
          <w:rFonts w:eastAsiaTheme="minorHAnsi"/>
          <w:snapToGrid/>
          <w:szCs w:val="24"/>
        </w:rPr>
        <w:t xml:space="preserve"> files of this nature.  Once the judge denies the motion (or after DCF fails to provide the </w:t>
      </w:r>
      <w:r w:rsidR="00EF4598">
        <w:rPr>
          <w:rFonts w:eastAsiaTheme="minorHAnsi"/>
          <w:snapToGrid/>
          <w:szCs w:val="24"/>
        </w:rPr>
        <w:t>documents</w:t>
      </w:r>
      <w:r>
        <w:rPr>
          <w:rFonts w:eastAsiaTheme="minorHAnsi"/>
          <w:snapToGrid/>
          <w:szCs w:val="24"/>
        </w:rPr>
        <w:t xml:space="preserve">), counsel must object to proceeding without </w:t>
      </w:r>
      <w:r w:rsidR="00EF4598">
        <w:rPr>
          <w:rFonts w:eastAsiaTheme="minorHAnsi"/>
          <w:snapToGrid/>
          <w:szCs w:val="24"/>
        </w:rPr>
        <w:t>the files</w:t>
      </w:r>
      <w:r>
        <w:rPr>
          <w:rFonts w:eastAsiaTheme="minorHAnsi"/>
          <w:snapToGrid/>
          <w:szCs w:val="24"/>
        </w:rPr>
        <w:t xml:space="preserve">, object to any witness testimony relevant to the missing information, move to strike any testimony relevant to the missing information, and explain to the court how the missing information is relevant to the client’s case.  </w:t>
      </w:r>
    </w:p>
    <w:p w14:paraId="70506EFC" w14:textId="77777777" w:rsidR="002C6FF8" w:rsidRDefault="002C6FF8" w:rsidP="00BD7869">
      <w:pPr>
        <w:pStyle w:val="ListParagraph"/>
        <w:ind w:left="0"/>
        <w:rPr>
          <w:rFonts w:eastAsiaTheme="minorHAnsi"/>
          <w:snapToGrid/>
          <w:szCs w:val="24"/>
        </w:rPr>
      </w:pPr>
    </w:p>
    <w:p w14:paraId="7A56F2F5" w14:textId="276A9E07" w:rsidR="00BD7869" w:rsidRPr="00BD7869" w:rsidRDefault="00A40457" w:rsidP="00BD7869">
      <w:pPr>
        <w:pStyle w:val="ListParagraph"/>
        <w:ind w:left="0"/>
        <w:rPr>
          <w:rFonts w:eastAsiaTheme="minorHAnsi"/>
          <w:snapToGrid/>
          <w:szCs w:val="24"/>
        </w:rPr>
      </w:pPr>
      <w:r>
        <w:rPr>
          <w:rFonts w:eastAsiaTheme="minorHAnsi"/>
          <w:snapToGrid/>
          <w:szCs w:val="24"/>
        </w:rPr>
        <w:t xml:space="preserve">While the circumstances of this case </w:t>
      </w:r>
      <w:r w:rsidR="00200824">
        <w:rPr>
          <w:rFonts w:eastAsiaTheme="minorHAnsi"/>
          <w:snapToGrid/>
          <w:szCs w:val="24"/>
        </w:rPr>
        <w:t>were</w:t>
      </w:r>
      <w:r>
        <w:rPr>
          <w:rFonts w:eastAsiaTheme="minorHAnsi"/>
          <w:snapToGrid/>
          <w:szCs w:val="24"/>
        </w:rPr>
        <w:t xml:space="preserve"> unusual, </w:t>
      </w:r>
      <w:r w:rsidR="002C6FF8">
        <w:rPr>
          <w:rFonts w:eastAsiaTheme="minorHAnsi"/>
          <w:snapToGrid/>
          <w:szCs w:val="24"/>
        </w:rPr>
        <w:t>its lesson is relevant to more common file requests, including requests for updated DCF files and home-finder</w:t>
      </w:r>
      <w:r w:rsidR="00B26ECB">
        <w:rPr>
          <w:rFonts w:eastAsiaTheme="minorHAnsi"/>
          <w:snapToGrid/>
          <w:szCs w:val="24"/>
        </w:rPr>
        <w:t>/home-study</w:t>
      </w:r>
      <w:r w:rsidR="002C6FF8">
        <w:rPr>
          <w:rFonts w:eastAsiaTheme="minorHAnsi"/>
          <w:snapToGrid/>
          <w:szCs w:val="24"/>
        </w:rPr>
        <w:t xml:space="preserve"> </w:t>
      </w:r>
      <w:r>
        <w:rPr>
          <w:rFonts w:eastAsiaTheme="minorHAnsi"/>
          <w:snapToGrid/>
          <w:szCs w:val="24"/>
        </w:rPr>
        <w:t>files about foster</w:t>
      </w:r>
      <w:r w:rsidR="002C6FF8">
        <w:rPr>
          <w:rFonts w:eastAsiaTheme="minorHAnsi"/>
          <w:snapToGrid/>
          <w:szCs w:val="24"/>
        </w:rPr>
        <w:t>-</w:t>
      </w:r>
      <w:r>
        <w:rPr>
          <w:rFonts w:eastAsiaTheme="minorHAnsi"/>
          <w:snapToGrid/>
          <w:szCs w:val="24"/>
        </w:rPr>
        <w:t xml:space="preserve"> and pre-adoptive parents.  </w:t>
      </w:r>
      <w:r w:rsidR="002C6FF8">
        <w:rPr>
          <w:rFonts w:eastAsiaTheme="minorHAnsi"/>
          <w:snapToGrid/>
          <w:szCs w:val="24"/>
        </w:rPr>
        <w:t>For example, i</w:t>
      </w:r>
      <w:r>
        <w:rPr>
          <w:rFonts w:eastAsiaTheme="minorHAnsi"/>
          <w:snapToGrid/>
          <w:szCs w:val="24"/>
        </w:rPr>
        <w:t xml:space="preserve">f the trial judge denies counsel’s motion for </w:t>
      </w:r>
      <w:r w:rsidR="002C6FF8">
        <w:rPr>
          <w:rFonts w:eastAsiaTheme="minorHAnsi"/>
          <w:snapToGrid/>
          <w:szCs w:val="24"/>
        </w:rPr>
        <w:t>the pre-adoptive family’s home-finder file</w:t>
      </w:r>
      <w:r>
        <w:rPr>
          <w:rFonts w:eastAsiaTheme="minorHAnsi"/>
          <w:snapToGrid/>
          <w:szCs w:val="24"/>
        </w:rPr>
        <w:t xml:space="preserve">, counsel should object to hearing any testimony from </w:t>
      </w:r>
      <w:r w:rsidR="00200824">
        <w:rPr>
          <w:rFonts w:eastAsiaTheme="minorHAnsi"/>
          <w:snapToGrid/>
          <w:szCs w:val="24"/>
        </w:rPr>
        <w:t xml:space="preserve">or about </w:t>
      </w:r>
      <w:r>
        <w:rPr>
          <w:rFonts w:eastAsiaTheme="minorHAnsi"/>
          <w:snapToGrid/>
          <w:szCs w:val="24"/>
        </w:rPr>
        <w:t xml:space="preserve">the pre-adoptive parents and move to strike any testimony from or about them.  Counsel must also explain </w:t>
      </w:r>
      <w:r w:rsidR="002C6FF8">
        <w:rPr>
          <w:rFonts w:eastAsiaTheme="minorHAnsi"/>
          <w:snapToGrid/>
          <w:szCs w:val="24"/>
        </w:rPr>
        <w:t xml:space="preserve">to the trial judge, as an offer of proof, </w:t>
      </w:r>
      <w:r>
        <w:rPr>
          <w:rFonts w:eastAsiaTheme="minorHAnsi"/>
          <w:snapToGrid/>
          <w:szCs w:val="24"/>
        </w:rPr>
        <w:t xml:space="preserve">how the files are relevant to the client’s case and how the failure to turn them over </w:t>
      </w:r>
      <w:r w:rsidR="00200824">
        <w:rPr>
          <w:rFonts w:eastAsiaTheme="minorHAnsi"/>
          <w:snapToGrid/>
          <w:szCs w:val="24"/>
        </w:rPr>
        <w:t>will</w:t>
      </w:r>
      <w:r>
        <w:rPr>
          <w:rFonts w:eastAsiaTheme="minorHAnsi"/>
          <w:snapToGrid/>
          <w:szCs w:val="24"/>
        </w:rPr>
        <w:t xml:space="preserve"> prejudice the client.  As </w:t>
      </w:r>
      <w:r w:rsidRPr="00A40457">
        <w:rPr>
          <w:rFonts w:eastAsiaTheme="minorHAnsi"/>
          <w:snapToGrid/>
          <w:szCs w:val="24"/>
          <w:u w:val="single"/>
        </w:rPr>
        <w:t>Becky</w:t>
      </w:r>
      <w:r>
        <w:rPr>
          <w:rFonts w:eastAsiaTheme="minorHAnsi"/>
          <w:snapToGrid/>
          <w:szCs w:val="24"/>
        </w:rPr>
        <w:t xml:space="preserve"> teaches us, a motion for the files, by itself, does not preserve the issue</w:t>
      </w:r>
      <w:r w:rsidR="002C6FF8">
        <w:rPr>
          <w:rFonts w:eastAsiaTheme="minorHAnsi"/>
          <w:snapToGrid/>
          <w:szCs w:val="24"/>
        </w:rPr>
        <w:t xml:space="preserve"> that the court erred in not ordering their turnover</w:t>
      </w:r>
      <w:r>
        <w:rPr>
          <w:rFonts w:eastAsiaTheme="minorHAnsi"/>
          <w:snapToGrid/>
          <w:szCs w:val="24"/>
        </w:rPr>
        <w:t xml:space="preserve">. </w:t>
      </w:r>
    </w:p>
    <w:p w14:paraId="1230BEAB" w14:textId="77777777" w:rsidR="00BD7869" w:rsidRPr="00BD7869" w:rsidRDefault="00BD7869" w:rsidP="00BD7869">
      <w:pPr>
        <w:rPr>
          <w:rFonts w:eastAsiaTheme="minorHAnsi"/>
          <w:snapToGrid/>
          <w:szCs w:val="24"/>
        </w:rPr>
      </w:pPr>
    </w:p>
    <w:p w14:paraId="5A7E5D46" w14:textId="06552D79" w:rsidR="00164854" w:rsidRPr="00D32F76" w:rsidRDefault="00D16235" w:rsidP="00D32F76">
      <w:pPr>
        <w:pStyle w:val="ListParagraph"/>
        <w:numPr>
          <w:ilvl w:val="0"/>
          <w:numId w:val="18"/>
        </w:numPr>
        <w:ind w:left="720" w:hanging="720"/>
        <w:rPr>
          <w:rFonts w:eastAsiaTheme="minorHAnsi"/>
          <w:snapToGrid/>
          <w:szCs w:val="24"/>
        </w:rPr>
      </w:pPr>
      <w:r w:rsidRPr="00D32F76">
        <w:rPr>
          <w:rFonts w:eastAsiaTheme="minorHAnsi"/>
          <w:b/>
          <w:snapToGrid/>
          <w:szCs w:val="24"/>
          <w:u w:val="single"/>
        </w:rPr>
        <w:t>Adoption of Sheldon</w:t>
      </w:r>
      <w:r w:rsidRPr="00D32F76">
        <w:rPr>
          <w:rFonts w:eastAsiaTheme="minorHAnsi"/>
          <w:b/>
          <w:snapToGrid/>
          <w:szCs w:val="24"/>
        </w:rPr>
        <w:t>, 88 Mass. App. Ct. 1109, No. 14-P-1604 (October 22, 2015).</w:t>
      </w:r>
    </w:p>
    <w:p w14:paraId="3CCD309B" w14:textId="77777777" w:rsidR="008617E5" w:rsidRDefault="008617E5" w:rsidP="00183E3A">
      <w:pPr>
        <w:widowControl/>
        <w:rPr>
          <w:rFonts w:eastAsiaTheme="minorHAnsi"/>
          <w:snapToGrid/>
          <w:szCs w:val="24"/>
        </w:rPr>
      </w:pPr>
    </w:p>
    <w:p w14:paraId="26CE6C8C" w14:textId="175F7EB5" w:rsidR="00D16235" w:rsidRDefault="00D16235" w:rsidP="00D16235">
      <w:pPr>
        <w:widowControl/>
        <w:rPr>
          <w:rFonts w:eastAsiaTheme="minorHAnsi"/>
          <w:snapToGrid/>
          <w:szCs w:val="24"/>
        </w:rPr>
      </w:pPr>
      <w:r w:rsidRPr="00D16235">
        <w:rPr>
          <w:rFonts w:eastAsiaTheme="minorHAnsi"/>
          <w:snapToGrid/>
          <w:szCs w:val="24"/>
        </w:rPr>
        <w:t xml:space="preserve">The mother of Sheldon appealed </w:t>
      </w:r>
      <w:r>
        <w:rPr>
          <w:rFonts w:eastAsiaTheme="minorHAnsi"/>
          <w:snapToGrid/>
          <w:szCs w:val="24"/>
        </w:rPr>
        <w:t>the termination of her parental rights and</w:t>
      </w:r>
      <w:r w:rsidRPr="00D16235">
        <w:rPr>
          <w:rFonts w:eastAsiaTheme="minorHAnsi"/>
          <w:snapToGrid/>
          <w:szCs w:val="24"/>
        </w:rPr>
        <w:t xml:space="preserve"> the denial of her motion for relief from </w:t>
      </w:r>
      <w:r>
        <w:rPr>
          <w:rFonts w:eastAsiaTheme="minorHAnsi"/>
          <w:snapToGrid/>
          <w:szCs w:val="24"/>
        </w:rPr>
        <w:t>judgment</w:t>
      </w:r>
      <w:r w:rsidR="000C74D5">
        <w:rPr>
          <w:rFonts w:eastAsiaTheme="minorHAnsi"/>
          <w:snapToGrid/>
          <w:szCs w:val="24"/>
        </w:rPr>
        <w:t>.  The judge did not issue findings until a year after trial.  At the time he issued the findings, he had retired.  According to the mother, the judge was not a “judge” at the time he retired, and his findings were therefore</w:t>
      </w:r>
      <w:r>
        <w:rPr>
          <w:rFonts w:eastAsiaTheme="minorHAnsi"/>
          <w:snapToGrid/>
          <w:szCs w:val="24"/>
        </w:rPr>
        <w:t xml:space="preserve"> void. </w:t>
      </w:r>
      <w:r w:rsidR="000C74D5">
        <w:rPr>
          <w:rFonts w:eastAsiaTheme="minorHAnsi"/>
          <w:snapToGrid/>
          <w:szCs w:val="24"/>
        </w:rPr>
        <w:t xml:space="preserve"> T</w:t>
      </w:r>
      <w:r>
        <w:rPr>
          <w:rFonts w:eastAsiaTheme="minorHAnsi"/>
          <w:snapToGrid/>
          <w:szCs w:val="24"/>
        </w:rPr>
        <w:t>he Chief Justice of the Trial Court appointed the judge to recall status for one day approximately a year and a half after the trial</w:t>
      </w:r>
      <w:r w:rsidR="000C74D5">
        <w:rPr>
          <w:rFonts w:eastAsiaTheme="minorHAnsi"/>
          <w:snapToGrid/>
          <w:szCs w:val="24"/>
        </w:rPr>
        <w:t>, and, o</w:t>
      </w:r>
      <w:r>
        <w:rPr>
          <w:rFonts w:eastAsiaTheme="minorHAnsi"/>
          <w:snapToGrid/>
          <w:szCs w:val="24"/>
        </w:rPr>
        <w:t xml:space="preserve">n that date, </w:t>
      </w:r>
      <w:r w:rsidR="000C74D5">
        <w:rPr>
          <w:rFonts w:eastAsiaTheme="minorHAnsi"/>
          <w:snapToGrid/>
          <w:szCs w:val="24"/>
        </w:rPr>
        <w:t xml:space="preserve">the </w:t>
      </w:r>
      <w:r w:rsidR="00200824">
        <w:rPr>
          <w:rFonts w:eastAsiaTheme="minorHAnsi"/>
          <w:snapToGrid/>
          <w:szCs w:val="24"/>
        </w:rPr>
        <w:t>“</w:t>
      </w:r>
      <w:r w:rsidR="000C74D5">
        <w:rPr>
          <w:rFonts w:eastAsiaTheme="minorHAnsi"/>
          <w:snapToGrid/>
          <w:szCs w:val="24"/>
        </w:rPr>
        <w:t>judge-for-a-day</w:t>
      </w:r>
      <w:r w:rsidR="00200824">
        <w:rPr>
          <w:rFonts w:eastAsiaTheme="minorHAnsi"/>
          <w:snapToGrid/>
          <w:szCs w:val="24"/>
        </w:rPr>
        <w:t>”</w:t>
      </w:r>
      <w:r>
        <w:rPr>
          <w:rFonts w:eastAsiaTheme="minorHAnsi"/>
          <w:snapToGrid/>
          <w:szCs w:val="24"/>
        </w:rPr>
        <w:t xml:space="preserve"> re-issued his findings. The panel held that this “</w:t>
      </w:r>
      <w:r w:rsidR="000C74D5">
        <w:rPr>
          <w:rFonts w:eastAsiaTheme="minorHAnsi"/>
          <w:snapToGrid/>
          <w:szCs w:val="24"/>
        </w:rPr>
        <w:t>cured” any structural infirmity</w:t>
      </w:r>
      <w:r>
        <w:rPr>
          <w:rFonts w:eastAsiaTheme="minorHAnsi"/>
          <w:snapToGrid/>
          <w:szCs w:val="24"/>
        </w:rPr>
        <w:t xml:space="preserve">. </w:t>
      </w:r>
    </w:p>
    <w:p w14:paraId="58270037" w14:textId="77777777" w:rsidR="00D16235" w:rsidRDefault="00D16235" w:rsidP="00D16235">
      <w:pPr>
        <w:widowControl/>
        <w:rPr>
          <w:rFonts w:eastAsiaTheme="minorHAnsi"/>
          <w:snapToGrid/>
          <w:szCs w:val="24"/>
        </w:rPr>
      </w:pPr>
    </w:p>
    <w:p w14:paraId="3BD7E365" w14:textId="476D8615" w:rsidR="000C74D5" w:rsidRDefault="000C74D5" w:rsidP="000C74D5">
      <w:pPr>
        <w:widowControl/>
        <w:rPr>
          <w:rFonts w:eastAsiaTheme="minorHAnsi"/>
          <w:snapToGrid/>
          <w:szCs w:val="24"/>
        </w:rPr>
      </w:pPr>
      <w:r>
        <w:rPr>
          <w:rFonts w:eastAsiaTheme="minorHAnsi"/>
          <w:snapToGrid/>
          <w:szCs w:val="24"/>
        </w:rPr>
        <w:t xml:space="preserve">Although the mother didn’t challenge any of the findings as clearly erroneous, she </w:t>
      </w:r>
      <w:r w:rsidR="00D16235">
        <w:rPr>
          <w:rFonts w:eastAsiaTheme="minorHAnsi"/>
          <w:snapToGrid/>
          <w:szCs w:val="24"/>
        </w:rPr>
        <w:t xml:space="preserve">argued that the </w:t>
      </w:r>
      <w:r w:rsidR="00200824">
        <w:rPr>
          <w:rFonts w:eastAsiaTheme="minorHAnsi"/>
          <w:snapToGrid/>
          <w:szCs w:val="24"/>
        </w:rPr>
        <w:t>long</w:t>
      </w:r>
      <w:r>
        <w:rPr>
          <w:rFonts w:eastAsiaTheme="minorHAnsi"/>
          <w:snapToGrid/>
          <w:szCs w:val="24"/>
        </w:rPr>
        <w:t xml:space="preserve"> </w:t>
      </w:r>
      <w:r w:rsidR="00D16235">
        <w:rPr>
          <w:rFonts w:eastAsiaTheme="minorHAnsi"/>
          <w:snapToGrid/>
          <w:szCs w:val="24"/>
        </w:rPr>
        <w:t>delay called into question the</w:t>
      </w:r>
      <w:r>
        <w:rPr>
          <w:rFonts w:eastAsiaTheme="minorHAnsi"/>
          <w:snapToGrid/>
          <w:szCs w:val="24"/>
        </w:rPr>
        <w:t>ir</w:t>
      </w:r>
      <w:r w:rsidR="00D16235">
        <w:rPr>
          <w:rFonts w:eastAsiaTheme="minorHAnsi"/>
          <w:snapToGrid/>
          <w:szCs w:val="24"/>
        </w:rPr>
        <w:t xml:space="preserve"> accuracy</w:t>
      </w:r>
      <w:r>
        <w:rPr>
          <w:rFonts w:eastAsiaTheme="minorHAnsi"/>
          <w:snapToGrid/>
          <w:szCs w:val="24"/>
        </w:rPr>
        <w:t xml:space="preserve">.  </w:t>
      </w:r>
      <w:r w:rsidR="00D16235">
        <w:rPr>
          <w:rFonts w:eastAsiaTheme="minorHAnsi"/>
          <w:snapToGrid/>
          <w:szCs w:val="24"/>
        </w:rPr>
        <w:t xml:space="preserve"> </w:t>
      </w:r>
      <w:r>
        <w:rPr>
          <w:rFonts w:eastAsiaTheme="minorHAnsi"/>
          <w:snapToGrid/>
          <w:szCs w:val="24"/>
        </w:rPr>
        <w:t xml:space="preserve">The panel disagreed, noting that although the judge </w:t>
      </w:r>
      <w:r w:rsidR="004B6DAB">
        <w:rPr>
          <w:rFonts w:eastAsiaTheme="minorHAnsi"/>
          <w:snapToGrid/>
          <w:szCs w:val="24"/>
        </w:rPr>
        <w:t>officially entered</w:t>
      </w:r>
      <w:r>
        <w:rPr>
          <w:rFonts w:eastAsiaTheme="minorHAnsi"/>
          <w:snapToGrid/>
          <w:szCs w:val="24"/>
        </w:rPr>
        <w:t xml:space="preserve"> his findings </w:t>
      </w:r>
      <w:r w:rsidR="00200824">
        <w:rPr>
          <w:rFonts w:eastAsiaTheme="minorHAnsi"/>
          <w:snapToGrid/>
          <w:szCs w:val="24"/>
        </w:rPr>
        <w:t>eighteen months</w:t>
      </w:r>
      <w:r>
        <w:rPr>
          <w:rFonts w:eastAsiaTheme="minorHAnsi"/>
          <w:snapToGrid/>
          <w:szCs w:val="24"/>
        </w:rPr>
        <w:t xml:space="preserve"> after trial, </w:t>
      </w:r>
      <w:r w:rsidR="004B6DAB">
        <w:rPr>
          <w:rFonts w:eastAsiaTheme="minorHAnsi"/>
          <w:snapToGrid/>
          <w:szCs w:val="24"/>
        </w:rPr>
        <w:t xml:space="preserve">he first issued them a year after trial and issued the termination decree only </w:t>
      </w:r>
      <w:r>
        <w:rPr>
          <w:rFonts w:eastAsiaTheme="minorHAnsi"/>
          <w:snapToGrid/>
          <w:szCs w:val="24"/>
        </w:rPr>
        <w:t xml:space="preserve">three months after trial.  Additionally, the panel remarked that the judge’s findings were supported by citations to the record, indicating that </w:t>
      </w:r>
      <w:r w:rsidR="004B6DAB">
        <w:rPr>
          <w:rFonts w:eastAsiaTheme="minorHAnsi"/>
          <w:snapToGrid/>
          <w:szCs w:val="24"/>
        </w:rPr>
        <w:t>he had</w:t>
      </w:r>
      <w:r>
        <w:rPr>
          <w:rFonts w:eastAsiaTheme="minorHAnsi"/>
          <w:snapToGrid/>
          <w:szCs w:val="24"/>
        </w:rPr>
        <w:t xml:space="preserve"> carefully examined the </w:t>
      </w:r>
      <w:r w:rsidR="00200824">
        <w:rPr>
          <w:rFonts w:eastAsiaTheme="minorHAnsi"/>
          <w:snapToGrid/>
          <w:szCs w:val="24"/>
        </w:rPr>
        <w:t>evidence</w:t>
      </w:r>
      <w:r>
        <w:rPr>
          <w:rFonts w:eastAsiaTheme="minorHAnsi"/>
          <w:snapToGrid/>
          <w:szCs w:val="24"/>
        </w:rPr>
        <w:t xml:space="preserve"> when he drafted them. </w:t>
      </w:r>
    </w:p>
    <w:p w14:paraId="464F534A" w14:textId="77777777" w:rsidR="004B6DAB" w:rsidRDefault="004B6DAB" w:rsidP="000C74D5">
      <w:pPr>
        <w:widowControl/>
        <w:rPr>
          <w:rFonts w:eastAsiaTheme="minorHAnsi"/>
          <w:snapToGrid/>
          <w:szCs w:val="24"/>
        </w:rPr>
      </w:pPr>
    </w:p>
    <w:p w14:paraId="6B401126" w14:textId="2B2206FE" w:rsidR="00D16235" w:rsidRDefault="004B6DAB" w:rsidP="00D16235">
      <w:pPr>
        <w:widowControl/>
        <w:rPr>
          <w:rFonts w:eastAsiaTheme="minorHAnsi"/>
          <w:snapToGrid/>
          <w:szCs w:val="24"/>
        </w:rPr>
      </w:pPr>
      <w:r>
        <w:rPr>
          <w:rFonts w:eastAsiaTheme="minorHAnsi"/>
          <w:snapToGrid/>
          <w:szCs w:val="24"/>
        </w:rPr>
        <w:t>The mother also argued that the findings were stale by the time they were properly issued, eighteen months after trial.  In th</w:t>
      </w:r>
      <w:r w:rsidR="00200824">
        <w:rPr>
          <w:rFonts w:eastAsiaTheme="minorHAnsi"/>
          <w:snapToGrid/>
          <w:szCs w:val="24"/>
        </w:rPr>
        <w:t>at post-trial period</w:t>
      </w:r>
      <w:r>
        <w:rPr>
          <w:rFonts w:eastAsiaTheme="minorHAnsi"/>
          <w:snapToGrid/>
          <w:szCs w:val="24"/>
        </w:rPr>
        <w:t xml:space="preserve">, the mother had become sober and obtained stable housing, showing that the judge’s prognostications were incorrect.  Again the panel disagreed.  </w:t>
      </w:r>
      <w:r w:rsidR="00200824">
        <w:rPr>
          <w:rFonts w:eastAsiaTheme="minorHAnsi"/>
          <w:snapToGrid/>
          <w:szCs w:val="24"/>
        </w:rPr>
        <w:t>B</w:t>
      </w:r>
      <w:r>
        <w:rPr>
          <w:rFonts w:eastAsiaTheme="minorHAnsi"/>
          <w:snapToGrid/>
          <w:szCs w:val="24"/>
        </w:rPr>
        <w:t xml:space="preserve">y the time of the judge’s denial of the motion for relief from judgment, the child had lived with the pre-adoptive family for 80% of his life.  Denial of the motion was, therefore, not an abuse of discretion.   </w:t>
      </w:r>
    </w:p>
    <w:p w14:paraId="4C55B896" w14:textId="77777777" w:rsidR="004B6DAB" w:rsidRDefault="004B6DAB" w:rsidP="00D16235">
      <w:pPr>
        <w:widowControl/>
        <w:rPr>
          <w:rFonts w:eastAsiaTheme="minorHAnsi"/>
          <w:snapToGrid/>
          <w:szCs w:val="24"/>
        </w:rPr>
      </w:pPr>
    </w:p>
    <w:p w14:paraId="0F972A16" w14:textId="7B4E926A" w:rsidR="004B6DAB" w:rsidRDefault="004B6DAB" w:rsidP="00D16235">
      <w:pPr>
        <w:widowControl/>
        <w:rPr>
          <w:rFonts w:eastAsiaTheme="minorHAnsi"/>
          <w:snapToGrid/>
          <w:szCs w:val="24"/>
        </w:rPr>
      </w:pPr>
      <w:proofErr w:type="gramStart"/>
      <w:r>
        <w:rPr>
          <w:rFonts w:eastAsiaTheme="minorHAnsi"/>
          <w:snapToGrid/>
          <w:szCs w:val="24"/>
        </w:rPr>
        <w:t>The takeaways?</w:t>
      </w:r>
      <w:proofErr w:type="gramEnd"/>
      <w:r>
        <w:rPr>
          <w:rFonts w:eastAsiaTheme="minorHAnsi"/>
          <w:snapToGrid/>
          <w:szCs w:val="24"/>
        </w:rPr>
        <w:t xml:space="preserve">  Findings issued when a judge has retired are void, but this can be cured by re-appointment, even for a day, by the Chief Justice of the Trial Court and reissuance of the findings on that day.  Also, motions for relief from judgment are rarely successful unless the </w:t>
      </w:r>
      <w:r>
        <w:rPr>
          <w:rFonts w:eastAsiaTheme="minorHAnsi"/>
          <w:snapToGrid/>
          <w:szCs w:val="24"/>
        </w:rPr>
        <w:lastRenderedPageBreak/>
        <w:t xml:space="preserve">parent can show a tremendous change in circumstances </w:t>
      </w:r>
      <w:r w:rsidRPr="004B6DAB">
        <w:rPr>
          <w:rFonts w:eastAsiaTheme="minorHAnsi"/>
          <w:i/>
          <w:snapToGrid/>
          <w:szCs w:val="24"/>
        </w:rPr>
        <w:t>and</w:t>
      </w:r>
      <w:r>
        <w:rPr>
          <w:rFonts w:eastAsiaTheme="minorHAnsi"/>
          <w:snapToGrid/>
          <w:szCs w:val="24"/>
        </w:rPr>
        <w:t xml:space="preserve"> instability of the child’s placement.  </w:t>
      </w:r>
      <w:r w:rsidR="00200824" w:rsidRPr="00200824">
        <w:rPr>
          <w:rFonts w:eastAsiaTheme="minorHAnsi"/>
          <w:snapToGrid/>
          <w:szCs w:val="24"/>
        </w:rPr>
        <w:t>See also</w:t>
      </w:r>
      <w:r w:rsidR="00200824">
        <w:rPr>
          <w:rFonts w:eastAsiaTheme="minorHAnsi"/>
          <w:snapToGrid/>
          <w:szCs w:val="24"/>
        </w:rPr>
        <w:t xml:space="preserve"> </w:t>
      </w:r>
      <w:r w:rsidR="00200824">
        <w:rPr>
          <w:rFonts w:eastAsiaTheme="minorHAnsi"/>
          <w:snapToGrid/>
          <w:szCs w:val="24"/>
          <w:u w:val="single"/>
        </w:rPr>
        <w:t xml:space="preserve">Adoption of </w:t>
      </w:r>
      <w:r w:rsidR="00200824" w:rsidRPr="00200824">
        <w:rPr>
          <w:rFonts w:eastAsiaTheme="minorHAnsi"/>
          <w:snapToGrid/>
          <w:szCs w:val="24"/>
          <w:u w:val="single"/>
        </w:rPr>
        <w:t>Enoch</w:t>
      </w:r>
      <w:r w:rsidR="00200824">
        <w:rPr>
          <w:rFonts w:eastAsiaTheme="minorHAnsi"/>
          <w:snapToGrid/>
          <w:szCs w:val="24"/>
        </w:rPr>
        <w:t>, discussed below.</w:t>
      </w:r>
    </w:p>
    <w:p w14:paraId="6BDBB5FD" w14:textId="77777777" w:rsidR="00CD698D" w:rsidRDefault="00CD698D" w:rsidP="00D16235">
      <w:pPr>
        <w:widowControl/>
        <w:rPr>
          <w:rFonts w:eastAsiaTheme="minorHAnsi"/>
          <w:snapToGrid/>
          <w:szCs w:val="24"/>
        </w:rPr>
      </w:pPr>
    </w:p>
    <w:p w14:paraId="65F07A90" w14:textId="65EFCFFB" w:rsidR="00E912E4" w:rsidRDefault="002C54FB" w:rsidP="00D16235">
      <w:pPr>
        <w:widowControl/>
        <w:rPr>
          <w:rFonts w:eastAsiaTheme="minorHAnsi"/>
          <w:b/>
          <w:snapToGrid/>
          <w:szCs w:val="24"/>
        </w:rPr>
      </w:pPr>
      <w:r>
        <w:rPr>
          <w:rFonts w:eastAsiaTheme="minorHAnsi"/>
          <w:b/>
          <w:snapToGrid/>
          <w:szCs w:val="24"/>
        </w:rPr>
        <w:t>4</w:t>
      </w:r>
      <w:r w:rsidR="00E912E4">
        <w:rPr>
          <w:rFonts w:eastAsiaTheme="minorHAnsi"/>
          <w:b/>
          <w:snapToGrid/>
          <w:szCs w:val="24"/>
        </w:rPr>
        <w:t>.</w:t>
      </w:r>
      <w:r w:rsidR="00E912E4">
        <w:rPr>
          <w:rFonts w:eastAsiaTheme="minorHAnsi"/>
          <w:b/>
          <w:snapToGrid/>
          <w:szCs w:val="24"/>
        </w:rPr>
        <w:tab/>
      </w:r>
      <w:r w:rsidR="00E912E4" w:rsidRPr="00E912E4">
        <w:rPr>
          <w:rFonts w:eastAsiaTheme="minorHAnsi"/>
          <w:b/>
          <w:snapToGrid/>
          <w:szCs w:val="24"/>
          <w:u w:val="single"/>
        </w:rPr>
        <w:t>Adoption of Valerio</w:t>
      </w:r>
      <w:r w:rsidR="00E912E4" w:rsidRPr="00E912E4">
        <w:rPr>
          <w:rFonts w:eastAsiaTheme="minorHAnsi"/>
          <w:b/>
          <w:snapToGrid/>
          <w:szCs w:val="24"/>
        </w:rPr>
        <w:t>, 88 Mass. App. Ct. 1111, No. 15-P-72 (November 3, 2015).</w:t>
      </w:r>
    </w:p>
    <w:p w14:paraId="559AC086" w14:textId="77777777" w:rsidR="00E912E4" w:rsidRDefault="00E912E4" w:rsidP="00D16235">
      <w:pPr>
        <w:widowControl/>
        <w:rPr>
          <w:rFonts w:eastAsiaTheme="minorHAnsi"/>
          <w:snapToGrid/>
          <w:szCs w:val="24"/>
        </w:rPr>
      </w:pPr>
    </w:p>
    <w:p w14:paraId="2CD8C932" w14:textId="09C80515" w:rsidR="00E912E4" w:rsidRDefault="00E912E4" w:rsidP="00D16235">
      <w:pPr>
        <w:widowControl/>
        <w:rPr>
          <w:rFonts w:eastAsiaTheme="minorHAnsi"/>
          <w:snapToGrid/>
          <w:szCs w:val="24"/>
        </w:rPr>
      </w:pPr>
      <w:r>
        <w:rPr>
          <w:rFonts w:eastAsiaTheme="minorHAnsi"/>
          <w:snapToGrid/>
          <w:szCs w:val="24"/>
        </w:rPr>
        <w:t>This case is worth noting because of comments the panel made regarding two evidentiary issu</w:t>
      </w:r>
      <w:r w:rsidR="009F5E0C">
        <w:rPr>
          <w:rFonts w:eastAsiaTheme="minorHAnsi"/>
          <w:snapToGrid/>
          <w:szCs w:val="24"/>
        </w:rPr>
        <w:t>es raised by the mother</w:t>
      </w:r>
      <w:r w:rsidR="002C54FB">
        <w:rPr>
          <w:rFonts w:eastAsiaTheme="minorHAnsi"/>
          <w:snapToGrid/>
          <w:szCs w:val="24"/>
        </w:rPr>
        <w:t>.  First, the trial court admitt</w:t>
      </w:r>
      <w:r w:rsidR="00E75A08">
        <w:rPr>
          <w:rFonts w:eastAsiaTheme="minorHAnsi"/>
          <w:snapToGrid/>
          <w:szCs w:val="24"/>
        </w:rPr>
        <w:t>ed</w:t>
      </w:r>
      <w:r w:rsidR="002C54FB">
        <w:rPr>
          <w:rFonts w:eastAsiaTheme="minorHAnsi"/>
          <w:snapToGrid/>
          <w:szCs w:val="24"/>
        </w:rPr>
        <w:t xml:space="preserve"> substantively the DCF affidavit filed with the initial petition.  </w:t>
      </w:r>
      <w:r w:rsidR="00E75A08">
        <w:rPr>
          <w:rFonts w:eastAsiaTheme="minorHAnsi"/>
          <w:snapToGrid/>
          <w:szCs w:val="24"/>
        </w:rPr>
        <w:t xml:space="preserve">The mother argued that it was an inadmissible pleading under </w:t>
      </w:r>
      <w:r w:rsidR="00413B61">
        <w:rPr>
          <w:rFonts w:eastAsiaTheme="minorHAnsi"/>
          <w:snapToGrid/>
          <w:szCs w:val="24"/>
        </w:rPr>
        <w:t>G.L. c. 231, § 87</w:t>
      </w:r>
      <w:r w:rsidR="00E75A08">
        <w:rPr>
          <w:rFonts w:eastAsiaTheme="minorHAnsi"/>
          <w:snapToGrid/>
          <w:szCs w:val="24"/>
        </w:rPr>
        <w:t xml:space="preserve">.  </w:t>
      </w:r>
      <w:r w:rsidR="002C54FB">
        <w:rPr>
          <w:rFonts w:eastAsiaTheme="minorHAnsi"/>
          <w:snapToGrid/>
          <w:szCs w:val="24"/>
        </w:rPr>
        <w:t>DCF argued that the affidavit was akin to a DCF court report, admissible unde</w:t>
      </w:r>
      <w:r w:rsidR="002C54FB" w:rsidRPr="002C54FB">
        <w:rPr>
          <w:rFonts w:eastAsiaTheme="minorHAnsi"/>
          <w:snapToGrid/>
          <w:szCs w:val="24"/>
        </w:rPr>
        <w:t xml:space="preserve">r </w:t>
      </w:r>
      <w:r w:rsidR="002C54FB">
        <w:rPr>
          <w:rFonts w:eastAsiaTheme="minorHAnsi"/>
          <w:snapToGrid/>
          <w:szCs w:val="24"/>
          <w:u w:val="single"/>
        </w:rPr>
        <w:t>Care and Protection of Bruce</w:t>
      </w:r>
      <w:r w:rsidR="002C54FB">
        <w:rPr>
          <w:rFonts w:eastAsiaTheme="minorHAnsi"/>
          <w:snapToGrid/>
          <w:szCs w:val="24"/>
        </w:rPr>
        <w:t xml:space="preserve">, 44 Mass. App. Ct. 758, 765-66 (1998), and the appellee-child argued that it was an official record under </w:t>
      </w:r>
      <w:r w:rsidR="002C54FB" w:rsidRPr="00E75A08">
        <w:rPr>
          <w:rFonts w:eastAsiaTheme="minorHAnsi"/>
          <w:snapToGrid/>
          <w:szCs w:val="24"/>
          <w:u w:val="single"/>
        </w:rPr>
        <w:t>Adoption of George</w:t>
      </w:r>
      <w:r w:rsidR="002C54FB">
        <w:rPr>
          <w:rFonts w:eastAsiaTheme="minorHAnsi"/>
          <w:snapToGrid/>
          <w:szCs w:val="24"/>
        </w:rPr>
        <w:t>, 27 Mass. App. Ct. 265, 272 (1989).  The panel “ha[d] doubts about the justifications offered by DCF and the child,</w:t>
      </w:r>
      <w:r w:rsidR="00413B61">
        <w:rPr>
          <w:rFonts w:eastAsiaTheme="minorHAnsi"/>
          <w:snapToGrid/>
          <w:szCs w:val="24"/>
        </w:rPr>
        <w:t>”</w:t>
      </w:r>
      <w:r w:rsidR="002C54FB">
        <w:rPr>
          <w:rFonts w:eastAsiaTheme="minorHAnsi"/>
          <w:snapToGrid/>
          <w:szCs w:val="24"/>
        </w:rPr>
        <w:t xml:space="preserve"> but found the admission of the affidavit to be harmless because of other overwhelming evidence of unfitness.  Second, the trial court admitted </w:t>
      </w:r>
      <w:r w:rsidR="009F5E0C">
        <w:rPr>
          <w:rFonts w:eastAsiaTheme="minorHAnsi"/>
          <w:snapToGrid/>
          <w:szCs w:val="24"/>
        </w:rPr>
        <w:t xml:space="preserve">testimony by a DCF supervisor as to her memory of dictation notes made by a social worker under her supervision.  </w:t>
      </w:r>
      <w:r w:rsidR="002C54FB">
        <w:rPr>
          <w:rFonts w:eastAsiaTheme="minorHAnsi"/>
          <w:snapToGrid/>
          <w:szCs w:val="24"/>
        </w:rPr>
        <w:t xml:space="preserve">DCF claimed that the testimony was the “functional equivalent” of an official record, and the child argued that the burden was on the mother to produce the social worker who dictated the notes if she was concerned about the admission of hearsay.  These arguments are baffling; there is no question that this is inadmissible hearsay.  While the panel did not say this, it held that any error in admitting the statements was harmless.  </w:t>
      </w:r>
      <w:r w:rsidR="002C19DC">
        <w:rPr>
          <w:rFonts w:eastAsiaTheme="minorHAnsi"/>
          <w:snapToGrid/>
          <w:szCs w:val="24"/>
        </w:rPr>
        <w:t xml:space="preserve"> </w:t>
      </w:r>
    </w:p>
    <w:p w14:paraId="13AB47F4" w14:textId="77777777" w:rsidR="00B6585D" w:rsidRDefault="00B6585D" w:rsidP="00D16235">
      <w:pPr>
        <w:widowControl/>
        <w:rPr>
          <w:rFonts w:eastAsiaTheme="minorHAnsi"/>
          <w:snapToGrid/>
          <w:szCs w:val="24"/>
        </w:rPr>
      </w:pPr>
    </w:p>
    <w:p w14:paraId="2CF40561" w14:textId="021503BE" w:rsidR="00077442" w:rsidRPr="00077442" w:rsidRDefault="002C54FB" w:rsidP="00077442">
      <w:pPr>
        <w:widowControl/>
        <w:rPr>
          <w:rFonts w:eastAsiaTheme="minorHAnsi"/>
          <w:b/>
          <w:snapToGrid/>
          <w:szCs w:val="24"/>
        </w:rPr>
      </w:pPr>
      <w:r>
        <w:rPr>
          <w:rFonts w:eastAsiaTheme="minorHAnsi"/>
          <w:b/>
          <w:snapToGrid/>
          <w:szCs w:val="24"/>
        </w:rPr>
        <w:t>5</w:t>
      </w:r>
      <w:r w:rsidR="00077442">
        <w:rPr>
          <w:rFonts w:eastAsiaTheme="minorHAnsi"/>
          <w:b/>
          <w:snapToGrid/>
          <w:szCs w:val="24"/>
        </w:rPr>
        <w:t>.</w:t>
      </w:r>
      <w:r w:rsidR="00077442">
        <w:rPr>
          <w:rFonts w:eastAsiaTheme="minorHAnsi"/>
          <w:b/>
          <w:snapToGrid/>
          <w:szCs w:val="24"/>
        </w:rPr>
        <w:tab/>
      </w:r>
      <w:r w:rsidR="00077442" w:rsidRPr="00077442">
        <w:rPr>
          <w:rFonts w:eastAsiaTheme="minorHAnsi"/>
          <w:b/>
          <w:snapToGrid/>
          <w:szCs w:val="24"/>
          <w:u w:val="single"/>
        </w:rPr>
        <w:t>Adoption of Danielle</w:t>
      </w:r>
      <w:r w:rsidR="00077442" w:rsidRPr="00077442">
        <w:rPr>
          <w:rFonts w:eastAsiaTheme="minorHAnsi"/>
          <w:b/>
          <w:snapToGrid/>
          <w:szCs w:val="24"/>
        </w:rPr>
        <w:t>, 88 Mass. App. Ct. 1116, No. 14-P-374 (December 8, 2015).</w:t>
      </w:r>
    </w:p>
    <w:p w14:paraId="287F1462" w14:textId="77777777" w:rsidR="00B6585D" w:rsidRDefault="00B6585D" w:rsidP="00D16235">
      <w:pPr>
        <w:widowControl/>
        <w:rPr>
          <w:rFonts w:eastAsiaTheme="minorHAnsi"/>
          <w:b/>
          <w:snapToGrid/>
          <w:szCs w:val="24"/>
        </w:rPr>
      </w:pPr>
    </w:p>
    <w:p w14:paraId="2E3DCBA5" w14:textId="4D2DB6CD" w:rsidR="000A5493" w:rsidRDefault="00203E15" w:rsidP="00D16235">
      <w:pPr>
        <w:widowControl/>
        <w:rPr>
          <w:rFonts w:eastAsiaTheme="minorHAnsi"/>
          <w:snapToGrid/>
          <w:szCs w:val="24"/>
        </w:rPr>
      </w:pPr>
      <w:r>
        <w:rPr>
          <w:rFonts w:eastAsiaTheme="minorHAnsi"/>
          <w:snapToGrid/>
          <w:szCs w:val="24"/>
        </w:rPr>
        <w:t xml:space="preserve">This case has an extraordinarily complicated procedural history, most of which is of no interest to </w:t>
      </w:r>
      <w:r w:rsidR="00002390">
        <w:rPr>
          <w:rFonts w:eastAsiaTheme="minorHAnsi"/>
          <w:snapToGrid/>
          <w:szCs w:val="24"/>
        </w:rPr>
        <w:t>casual readers</w:t>
      </w:r>
      <w:r>
        <w:rPr>
          <w:rFonts w:eastAsiaTheme="minorHAnsi"/>
          <w:snapToGrid/>
          <w:szCs w:val="24"/>
        </w:rPr>
        <w:t xml:space="preserve">.  </w:t>
      </w:r>
      <w:r w:rsidR="00412376">
        <w:rPr>
          <w:rFonts w:eastAsiaTheme="minorHAnsi"/>
          <w:snapToGrid/>
          <w:szCs w:val="24"/>
        </w:rPr>
        <w:t>Worth noting, however,</w:t>
      </w:r>
      <w:r w:rsidR="00077442">
        <w:rPr>
          <w:rFonts w:eastAsiaTheme="minorHAnsi"/>
          <w:snapToGrid/>
          <w:szCs w:val="24"/>
        </w:rPr>
        <w:t xml:space="preserve"> is the panel’s willingness to </w:t>
      </w:r>
      <w:r w:rsidR="006D0825">
        <w:rPr>
          <w:rFonts w:eastAsiaTheme="minorHAnsi"/>
          <w:snapToGrid/>
          <w:szCs w:val="24"/>
        </w:rPr>
        <w:t>bifurcate the appeal as to each child</w:t>
      </w:r>
      <w:r w:rsidR="00077442">
        <w:rPr>
          <w:rFonts w:eastAsiaTheme="minorHAnsi"/>
          <w:snapToGrid/>
          <w:szCs w:val="24"/>
        </w:rPr>
        <w:t xml:space="preserve"> </w:t>
      </w:r>
      <w:r w:rsidR="006D0825">
        <w:rPr>
          <w:rFonts w:eastAsiaTheme="minorHAnsi"/>
          <w:snapToGrid/>
          <w:szCs w:val="24"/>
        </w:rPr>
        <w:t xml:space="preserve">(without any party making such a request), </w:t>
      </w:r>
      <w:r w:rsidR="00077442">
        <w:rPr>
          <w:rFonts w:eastAsiaTheme="minorHAnsi"/>
          <w:snapToGrid/>
          <w:szCs w:val="24"/>
        </w:rPr>
        <w:t xml:space="preserve">and its recognition that the </w:t>
      </w:r>
      <w:r w:rsidR="006D0825">
        <w:rPr>
          <w:rFonts w:eastAsiaTheme="minorHAnsi"/>
          <w:snapToGrid/>
          <w:szCs w:val="24"/>
        </w:rPr>
        <w:t>change in one of the childr</w:t>
      </w:r>
      <w:r>
        <w:rPr>
          <w:rFonts w:eastAsiaTheme="minorHAnsi"/>
          <w:snapToGrid/>
          <w:szCs w:val="24"/>
        </w:rPr>
        <w:t>en’s circumstances warranted a Rule 60(b) hearing</w:t>
      </w:r>
      <w:r w:rsidR="006D0825">
        <w:rPr>
          <w:rFonts w:eastAsiaTheme="minorHAnsi"/>
          <w:snapToGrid/>
          <w:szCs w:val="24"/>
        </w:rPr>
        <w:t xml:space="preserve"> as to that child only. </w:t>
      </w:r>
    </w:p>
    <w:p w14:paraId="13BA3CD4" w14:textId="77777777" w:rsidR="000A5493" w:rsidRDefault="000A5493" w:rsidP="00D16235">
      <w:pPr>
        <w:widowControl/>
        <w:rPr>
          <w:rFonts w:eastAsiaTheme="minorHAnsi"/>
          <w:snapToGrid/>
          <w:szCs w:val="24"/>
        </w:rPr>
      </w:pPr>
    </w:p>
    <w:p w14:paraId="6ABC5A38" w14:textId="184DA385" w:rsidR="006D0825" w:rsidRDefault="00203E15" w:rsidP="00D16235">
      <w:pPr>
        <w:widowControl/>
        <w:rPr>
          <w:rFonts w:eastAsiaTheme="minorHAnsi"/>
          <w:snapToGrid/>
          <w:szCs w:val="24"/>
        </w:rPr>
      </w:pPr>
      <w:r>
        <w:rPr>
          <w:rFonts w:eastAsiaTheme="minorHAnsi"/>
          <w:snapToGrid/>
          <w:szCs w:val="24"/>
        </w:rPr>
        <w:t xml:space="preserve">In </w:t>
      </w:r>
      <w:r w:rsidRPr="00203E15">
        <w:rPr>
          <w:rFonts w:eastAsiaTheme="minorHAnsi"/>
          <w:snapToGrid/>
          <w:szCs w:val="24"/>
          <w:u w:val="single"/>
        </w:rPr>
        <w:t>Danielle</w:t>
      </w:r>
      <w:r>
        <w:rPr>
          <w:rFonts w:eastAsiaTheme="minorHAnsi"/>
          <w:snapToGrid/>
          <w:szCs w:val="24"/>
        </w:rPr>
        <w:t xml:space="preserve">, the mother </w:t>
      </w:r>
      <w:r w:rsidR="00413B61">
        <w:rPr>
          <w:rFonts w:eastAsiaTheme="minorHAnsi"/>
          <w:snapToGrid/>
          <w:szCs w:val="24"/>
        </w:rPr>
        <w:t>of</w:t>
      </w:r>
      <w:r>
        <w:rPr>
          <w:rFonts w:eastAsiaTheme="minorHAnsi"/>
          <w:snapToGrid/>
          <w:szCs w:val="24"/>
        </w:rPr>
        <w:t xml:space="preserve"> two girls (ages 16 and 11)</w:t>
      </w:r>
      <w:r w:rsidR="001D5CEB">
        <w:rPr>
          <w:rFonts w:eastAsiaTheme="minorHAnsi"/>
          <w:snapToGrid/>
          <w:szCs w:val="24"/>
        </w:rPr>
        <w:t xml:space="preserve"> appealed </w:t>
      </w:r>
      <w:r w:rsidR="00413B61">
        <w:rPr>
          <w:rFonts w:eastAsiaTheme="minorHAnsi"/>
          <w:snapToGrid/>
          <w:szCs w:val="24"/>
        </w:rPr>
        <w:t>the trial court’s approval of the DCF adoption</w:t>
      </w:r>
      <w:r w:rsidR="001D5CEB">
        <w:rPr>
          <w:rFonts w:eastAsiaTheme="minorHAnsi"/>
          <w:snapToGrid/>
          <w:szCs w:val="24"/>
        </w:rPr>
        <w:t xml:space="preserve"> plans. </w:t>
      </w:r>
      <w:r>
        <w:rPr>
          <w:rFonts w:eastAsiaTheme="minorHAnsi"/>
          <w:snapToGrid/>
          <w:szCs w:val="24"/>
        </w:rPr>
        <w:t xml:space="preserve"> </w:t>
      </w:r>
      <w:r w:rsidR="00412376">
        <w:rPr>
          <w:rFonts w:eastAsiaTheme="minorHAnsi"/>
          <w:snapToGrid/>
          <w:szCs w:val="24"/>
        </w:rPr>
        <w:t>After trial</w:t>
      </w:r>
      <w:r w:rsidR="001D5CEB">
        <w:rPr>
          <w:rFonts w:eastAsiaTheme="minorHAnsi"/>
          <w:snapToGrid/>
          <w:szCs w:val="24"/>
        </w:rPr>
        <w:t xml:space="preserve">, the older girl’s placement disrupted and she no longer wanted to be adopted. </w:t>
      </w:r>
      <w:r w:rsidR="00413B61">
        <w:rPr>
          <w:rFonts w:eastAsiaTheme="minorHAnsi"/>
          <w:snapToGrid/>
          <w:szCs w:val="24"/>
        </w:rPr>
        <w:t xml:space="preserve"> </w:t>
      </w:r>
      <w:r w:rsidR="001D5CEB">
        <w:rPr>
          <w:rFonts w:eastAsiaTheme="minorHAnsi"/>
          <w:snapToGrid/>
          <w:szCs w:val="24"/>
        </w:rPr>
        <w:t xml:space="preserve">The mother </w:t>
      </w:r>
      <w:r w:rsidR="00412376">
        <w:rPr>
          <w:rFonts w:eastAsiaTheme="minorHAnsi"/>
          <w:snapToGrid/>
          <w:szCs w:val="24"/>
        </w:rPr>
        <w:t>asked the Appeals Court single justice for</w:t>
      </w:r>
      <w:r w:rsidR="001D5CEB">
        <w:rPr>
          <w:rFonts w:eastAsiaTheme="minorHAnsi"/>
          <w:snapToGrid/>
          <w:szCs w:val="24"/>
        </w:rPr>
        <w:t xml:space="preserve"> leave to file a 60(b) motion based on the older child’s change</w:t>
      </w:r>
      <w:r w:rsidR="00412376">
        <w:rPr>
          <w:rFonts w:eastAsiaTheme="minorHAnsi"/>
          <w:snapToGrid/>
          <w:szCs w:val="24"/>
        </w:rPr>
        <w:t>d</w:t>
      </w:r>
      <w:r w:rsidR="001D5CEB">
        <w:rPr>
          <w:rFonts w:eastAsiaTheme="minorHAnsi"/>
          <w:snapToGrid/>
          <w:szCs w:val="24"/>
        </w:rPr>
        <w:t xml:space="preserve"> circumstances. </w:t>
      </w:r>
      <w:r>
        <w:rPr>
          <w:rFonts w:eastAsiaTheme="minorHAnsi"/>
          <w:snapToGrid/>
          <w:szCs w:val="24"/>
        </w:rPr>
        <w:t xml:space="preserve"> </w:t>
      </w:r>
      <w:r w:rsidR="001D5CEB">
        <w:rPr>
          <w:rFonts w:eastAsiaTheme="minorHAnsi"/>
          <w:snapToGrid/>
          <w:szCs w:val="24"/>
        </w:rPr>
        <w:t>The single justice denied her request because staying the appeal would prejudice the younger child</w:t>
      </w:r>
      <w:r w:rsidR="00412376">
        <w:rPr>
          <w:rFonts w:eastAsiaTheme="minorHAnsi"/>
          <w:snapToGrid/>
          <w:szCs w:val="24"/>
        </w:rPr>
        <w:t xml:space="preserve"> who wanted to be adopted</w:t>
      </w:r>
      <w:r w:rsidR="001D5CEB">
        <w:rPr>
          <w:rFonts w:eastAsiaTheme="minorHAnsi"/>
          <w:snapToGrid/>
          <w:szCs w:val="24"/>
        </w:rPr>
        <w:t xml:space="preserve">. </w:t>
      </w:r>
      <w:r>
        <w:rPr>
          <w:rFonts w:eastAsiaTheme="minorHAnsi"/>
          <w:snapToGrid/>
          <w:szCs w:val="24"/>
        </w:rPr>
        <w:t xml:space="preserve"> </w:t>
      </w:r>
      <w:r w:rsidR="001D5CEB">
        <w:rPr>
          <w:rFonts w:eastAsiaTheme="minorHAnsi"/>
          <w:snapToGrid/>
          <w:szCs w:val="24"/>
        </w:rPr>
        <w:t>The panel concluded that the single justice did not abuse her discretion</w:t>
      </w:r>
      <w:r w:rsidR="00412376">
        <w:rPr>
          <w:rFonts w:eastAsiaTheme="minorHAnsi"/>
          <w:snapToGrid/>
          <w:szCs w:val="24"/>
        </w:rPr>
        <w:t xml:space="preserve"> because concern about the younger child was warranted.  B</w:t>
      </w:r>
      <w:r w:rsidR="001D5CEB">
        <w:rPr>
          <w:rFonts w:eastAsiaTheme="minorHAnsi"/>
          <w:snapToGrid/>
          <w:szCs w:val="24"/>
        </w:rPr>
        <w:t xml:space="preserve">ut given </w:t>
      </w:r>
      <w:r>
        <w:rPr>
          <w:rFonts w:eastAsiaTheme="minorHAnsi"/>
          <w:snapToGrid/>
          <w:szCs w:val="24"/>
        </w:rPr>
        <w:t xml:space="preserve">the panel’s affirmance of all aspects of the younger child’s case, </w:t>
      </w:r>
      <w:r w:rsidR="00412376">
        <w:rPr>
          <w:rFonts w:eastAsiaTheme="minorHAnsi"/>
          <w:snapToGrid/>
          <w:szCs w:val="24"/>
        </w:rPr>
        <w:t xml:space="preserve">delay for that child was no longer a problem.  Accordingly, </w:t>
      </w:r>
      <w:r w:rsidR="001D5CEB">
        <w:rPr>
          <w:rFonts w:eastAsiaTheme="minorHAnsi"/>
          <w:snapToGrid/>
          <w:szCs w:val="24"/>
        </w:rPr>
        <w:t>it stayed the ap</w:t>
      </w:r>
      <w:r w:rsidR="000F1C25">
        <w:rPr>
          <w:rFonts w:eastAsiaTheme="minorHAnsi"/>
          <w:snapToGrid/>
          <w:szCs w:val="24"/>
        </w:rPr>
        <w:t xml:space="preserve">peal relating </w:t>
      </w:r>
      <w:r>
        <w:rPr>
          <w:rFonts w:eastAsiaTheme="minorHAnsi"/>
          <w:snapToGrid/>
          <w:szCs w:val="24"/>
        </w:rPr>
        <w:t xml:space="preserve">to the older </w:t>
      </w:r>
      <w:r w:rsidR="000F1C25">
        <w:rPr>
          <w:rFonts w:eastAsiaTheme="minorHAnsi"/>
          <w:snapToGrid/>
          <w:szCs w:val="24"/>
        </w:rPr>
        <w:t>child</w:t>
      </w:r>
      <w:r w:rsidR="001D5CEB">
        <w:rPr>
          <w:rFonts w:eastAsiaTheme="minorHAnsi"/>
          <w:snapToGrid/>
          <w:szCs w:val="24"/>
        </w:rPr>
        <w:t xml:space="preserve"> and granted the mother leave to file her 60(b) motion within 10 days of the decision. </w:t>
      </w:r>
      <w:r>
        <w:rPr>
          <w:rFonts w:eastAsiaTheme="minorHAnsi"/>
          <w:snapToGrid/>
          <w:szCs w:val="24"/>
        </w:rPr>
        <w:t xml:space="preserve"> </w:t>
      </w:r>
      <w:r w:rsidR="001D5CEB">
        <w:rPr>
          <w:rFonts w:eastAsiaTheme="minorHAnsi"/>
          <w:snapToGrid/>
          <w:szCs w:val="24"/>
        </w:rPr>
        <w:t xml:space="preserve">The panel </w:t>
      </w:r>
      <w:r w:rsidR="000A5493">
        <w:rPr>
          <w:rFonts w:eastAsiaTheme="minorHAnsi"/>
          <w:snapToGrid/>
          <w:szCs w:val="24"/>
        </w:rPr>
        <w:t>ordered the juvenile court to act on the motion within 45 days</w:t>
      </w:r>
      <w:r>
        <w:rPr>
          <w:rFonts w:eastAsiaTheme="minorHAnsi"/>
          <w:snapToGrid/>
          <w:szCs w:val="24"/>
        </w:rPr>
        <w:t>, and the panel retained jurisdiction over the appeal</w:t>
      </w:r>
      <w:r w:rsidR="000A5493">
        <w:rPr>
          <w:rFonts w:eastAsiaTheme="minorHAnsi"/>
          <w:snapToGrid/>
          <w:szCs w:val="24"/>
        </w:rPr>
        <w:t>.</w:t>
      </w:r>
    </w:p>
    <w:p w14:paraId="56DE01F1" w14:textId="77777777" w:rsidR="006D0825" w:rsidRDefault="006D0825" w:rsidP="00D16235">
      <w:pPr>
        <w:widowControl/>
        <w:rPr>
          <w:rFonts w:eastAsiaTheme="minorHAnsi"/>
          <w:snapToGrid/>
          <w:szCs w:val="24"/>
        </w:rPr>
      </w:pPr>
    </w:p>
    <w:p w14:paraId="1DFD4E19" w14:textId="66B91CFF" w:rsidR="00077442" w:rsidRDefault="00203E15" w:rsidP="00D16235">
      <w:pPr>
        <w:widowControl/>
        <w:rPr>
          <w:rFonts w:eastAsiaTheme="minorHAnsi"/>
          <w:snapToGrid/>
          <w:szCs w:val="24"/>
        </w:rPr>
      </w:pPr>
      <w:r w:rsidRPr="00203E15">
        <w:rPr>
          <w:rFonts w:eastAsiaTheme="minorHAnsi"/>
          <w:snapToGrid/>
          <w:szCs w:val="24"/>
          <w:u w:val="single"/>
        </w:rPr>
        <w:t>Danielle</w:t>
      </w:r>
      <w:r>
        <w:rPr>
          <w:rFonts w:eastAsiaTheme="minorHAnsi"/>
          <w:snapToGrid/>
          <w:szCs w:val="24"/>
        </w:rPr>
        <w:t xml:space="preserve"> suggests that</w:t>
      </w:r>
      <w:r w:rsidR="00820F05">
        <w:rPr>
          <w:rFonts w:eastAsiaTheme="minorHAnsi"/>
          <w:snapToGrid/>
          <w:szCs w:val="24"/>
        </w:rPr>
        <w:t xml:space="preserve"> siblings’ different positions and interests may call for child-specific orders from the panel – that is, a de facto bifurcation of the appeals.  If one child wants speedy permanency but the other wants an evidentiary hearing on the disposition, the plan, or visits, counsel should </w:t>
      </w:r>
      <w:r w:rsidR="00412376">
        <w:rPr>
          <w:rFonts w:eastAsiaTheme="minorHAnsi"/>
          <w:snapToGrid/>
          <w:szCs w:val="24"/>
        </w:rPr>
        <w:t>consider asking the panel</w:t>
      </w:r>
      <w:r w:rsidR="00820F05">
        <w:rPr>
          <w:rFonts w:eastAsiaTheme="minorHAnsi"/>
          <w:snapToGrid/>
          <w:szCs w:val="24"/>
        </w:rPr>
        <w:t xml:space="preserve"> to grant independent relief for each child.  </w:t>
      </w:r>
      <w:r w:rsidR="006D0825">
        <w:rPr>
          <w:rFonts w:eastAsiaTheme="minorHAnsi"/>
          <w:snapToGrid/>
          <w:szCs w:val="24"/>
        </w:rPr>
        <w:t xml:space="preserve">In that way, </w:t>
      </w:r>
      <w:proofErr w:type="gramStart"/>
      <w:r w:rsidR="006D0825">
        <w:rPr>
          <w:rFonts w:eastAsiaTheme="minorHAnsi"/>
          <w:snapToGrid/>
          <w:szCs w:val="24"/>
        </w:rPr>
        <w:t>neither child will be prejudiced</w:t>
      </w:r>
      <w:r w:rsidR="000A5493">
        <w:rPr>
          <w:rFonts w:eastAsiaTheme="minorHAnsi"/>
          <w:snapToGrid/>
          <w:szCs w:val="24"/>
        </w:rPr>
        <w:t>, and</w:t>
      </w:r>
      <w:proofErr w:type="gramEnd"/>
      <w:r w:rsidR="000A5493">
        <w:rPr>
          <w:rFonts w:eastAsiaTheme="minorHAnsi"/>
          <w:snapToGrid/>
          <w:szCs w:val="24"/>
        </w:rPr>
        <w:t xml:space="preserve"> the matters can be disposed of more quickly.</w:t>
      </w:r>
      <w:r w:rsidR="006D0825">
        <w:rPr>
          <w:rFonts w:eastAsiaTheme="minorHAnsi"/>
          <w:snapToGrid/>
          <w:szCs w:val="24"/>
        </w:rPr>
        <w:t xml:space="preserve"> </w:t>
      </w:r>
    </w:p>
    <w:p w14:paraId="7586F2B7" w14:textId="77777777" w:rsidR="00413B61" w:rsidRDefault="00413B61" w:rsidP="00D16235">
      <w:pPr>
        <w:widowControl/>
        <w:rPr>
          <w:rFonts w:eastAsiaTheme="minorHAnsi"/>
          <w:snapToGrid/>
          <w:szCs w:val="24"/>
        </w:rPr>
      </w:pPr>
    </w:p>
    <w:p w14:paraId="19A9DCDE" w14:textId="77777777" w:rsidR="000F1C25" w:rsidRDefault="000F1C25" w:rsidP="00D16235">
      <w:pPr>
        <w:widowControl/>
        <w:rPr>
          <w:rFonts w:eastAsiaTheme="minorHAnsi"/>
          <w:snapToGrid/>
          <w:szCs w:val="24"/>
        </w:rPr>
      </w:pPr>
    </w:p>
    <w:p w14:paraId="56D6A187" w14:textId="49E10AB2" w:rsidR="00DC3BAD" w:rsidRDefault="00820F05" w:rsidP="00D16235">
      <w:pPr>
        <w:widowControl/>
        <w:rPr>
          <w:rFonts w:eastAsiaTheme="minorHAnsi"/>
          <w:b/>
          <w:snapToGrid/>
          <w:szCs w:val="24"/>
        </w:rPr>
      </w:pPr>
      <w:r>
        <w:rPr>
          <w:rFonts w:eastAsiaTheme="minorHAnsi"/>
          <w:b/>
          <w:snapToGrid/>
          <w:szCs w:val="24"/>
        </w:rPr>
        <w:lastRenderedPageBreak/>
        <w:t>6</w:t>
      </w:r>
      <w:r w:rsidR="000F1C25">
        <w:rPr>
          <w:rFonts w:eastAsiaTheme="minorHAnsi"/>
          <w:b/>
          <w:snapToGrid/>
          <w:szCs w:val="24"/>
        </w:rPr>
        <w:t>.</w:t>
      </w:r>
      <w:r w:rsidR="000F1C25">
        <w:rPr>
          <w:rFonts w:eastAsiaTheme="minorHAnsi"/>
          <w:b/>
          <w:snapToGrid/>
          <w:szCs w:val="24"/>
        </w:rPr>
        <w:tab/>
      </w:r>
      <w:r w:rsidR="00DC3BAD" w:rsidRPr="00DC3BAD">
        <w:rPr>
          <w:rFonts w:eastAsiaTheme="minorHAnsi"/>
          <w:b/>
          <w:snapToGrid/>
          <w:szCs w:val="24"/>
          <w:u w:val="single"/>
        </w:rPr>
        <w:t>Adoption of Zeb</w:t>
      </w:r>
      <w:r w:rsidR="00DC3BAD">
        <w:rPr>
          <w:rFonts w:eastAsiaTheme="minorHAnsi"/>
          <w:b/>
          <w:snapToGrid/>
          <w:szCs w:val="24"/>
        </w:rPr>
        <w:t>, 88 Mass. App. Ct. 1118, No. 15-P-531 (December 29, 2015)</w:t>
      </w:r>
      <w:r w:rsidR="00BF10C2">
        <w:rPr>
          <w:rFonts w:eastAsiaTheme="minorHAnsi"/>
          <w:b/>
          <w:snapToGrid/>
          <w:szCs w:val="24"/>
        </w:rPr>
        <w:t>.</w:t>
      </w:r>
    </w:p>
    <w:p w14:paraId="2546B1D7" w14:textId="77777777" w:rsidR="00DC3BAD" w:rsidRDefault="00DC3BAD" w:rsidP="00D16235">
      <w:pPr>
        <w:widowControl/>
        <w:rPr>
          <w:rFonts w:eastAsiaTheme="minorHAnsi"/>
          <w:b/>
          <w:snapToGrid/>
          <w:szCs w:val="24"/>
        </w:rPr>
      </w:pPr>
    </w:p>
    <w:p w14:paraId="5454189E" w14:textId="77777777" w:rsidR="001D3C92" w:rsidRDefault="00DC3BAD" w:rsidP="00D16235">
      <w:pPr>
        <w:widowControl/>
        <w:rPr>
          <w:rFonts w:eastAsiaTheme="minorHAnsi"/>
          <w:snapToGrid/>
          <w:szCs w:val="24"/>
        </w:rPr>
      </w:pPr>
      <w:r>
        <w:rPr>
          <w:rFonts w:eastAsiaTheme="minorHAnsi"/>
          <w:snapToGrid/>
          <w:szCs w:val="24"/>
        </w:rPr>
        <w:t xml:space="preserve">At least once each year the Appeals Court shows us why </w:t>
      </w:r>
      <w:r w:rsidR="00FF040B">
        <w:rPr>
          <w:rFonts w:eastAsiaTheme="minorHAnsi"/>
          <w:snapToGrid/>
          <w:szCs w:val="24"/>
        </w:rPr>
        <w:t xml:space="preserve">most </w:t>
      </w:r>
      <w:r>
        <w:rPr>
          <w:rFonts w:eastAsiaTheme="minorHAnsi"/>
          <w:snapToGrid/>
          <w:szCs w:val="24"/>
        </w:rPr>
        <w:t>Rule 1:28 decisions should never see the light of day</w:t>
      </w:r>
      <w:r w:rsidR="00FF040B">
        <w:rPr>
          <w:rFonts w:eastAsiaTheme="minorHAnsi"/>
          <w:snapToGrid/>
          <w:szCs w:val="24"/>
        </w:rPr>
        <w:t>.</w:t>
      </w:r>
      <w:r>
        <w:rPr>
          <w:rFonts w:eastAsiaTheme="minorHAnsi"/>
          <w:snapToGrid/>
          <w:szCs w:val="24"/>
        </w:rPr>
        <w:t xml:space="preserve">  In this case, the trial judge denied the mother’s request for her experts to interview the children but then discredited the experts’ opinions about mother-child bonding in part because they failed to interview the children.  According to the panel, while the judge may have</w:t>
      </w:r>
      <w:r w:rsidR="00FF040B">
        <w:rPr>
          <w:rFonts w:eastAsiaTheme="minorHAnsi"/>
          <w:snapToGrid/>
          <w:szCs w:val="24"/>
        </w:rPr>
        <w:t>, as a result of this error,</w:t>
      </w:r>
      <w:r>
        <w:rPr>
          <w:rFonts w:eastAsiaTheme="minorHAnsi"/>
          <w:snapToGrid/>
          <w:szCs w:val="24"/>
        </w:rPr>
        <w:t xml:space="preserve"> underestimated the strength of the mother-child</w:t>
      </w:r>
      <w:r w:rsidR="00FF040B">
        <w:rPr>
          <w:rFonts w:eastAsiaTheme="minorHAnsi"/>
          <w:snapToGrid/>
          <w:szCs w:val="24"/>
        </w:rPr>
        <w:t xml:space="preserve"> bond</w:t>
      </w:r>
      <w:r>
        <w:rPr>
          <w:rFonts w:eastAsiaTheme="minorHAnsi"/>
          <w:snapToGrid/>
          <w:szCs w:val="24"/>
        </w:rPr>
        <w:t xml:space="preserve">, “any error in this regard would not have affected her ultimate conclusion that court-ordered visitation would not be in the children’s best interests where they had already formed strong bond with their adoptive parents.”  </w:t>
      </w:r>
    </w:p>
    <w:p w14:paraId="19711E53" w14:textId="77777777" w:rsidR="001D3C92" w:rsidRDefault="001D3C92" w:rsidP="00D16235">
      <w:pPr>
        <w:widowControl/>
        <w:rPr>
          <w:rFonts w:eastAsiaTheme="minorHAnsi"/>
          <w:snapToGrid/>
          <w:szCs w:val="24"/>
        </w:rPr>
      </w:pPr>
    </w:p>
    <w:p w14:paraId="13C58B7D" w14:textId="3D5C9359" w:rsidR="00DC3BAD" w:rsidRDefault="00DC3BAD" w:rsidP="00D16235">
      <w:pPr>
        <w:widowControl/>
        <w:rPr>
          <w:rFonts w:eastAsiaTheme="minorHAnsi"/>
          <w:snapToGrid/>
          <w:szCs w:val="24"/>
        </w:rPr>
      </w:pPr>
      <w:proofErr w:type="gramStart"/>
      <w:r>
        <w:rPr>
          <w:rFonts w:eastAsiaTheme="minorHAnsi"/>
          <w:snapToGrid/>
          <w:szCs w:val="24"/>
        </w:rPr>
        <w:t>Really?</w:t>
      </w:r>
      <w:proofErr w:type="gramEnd"/>
      <w:r>
        <w:rPr>
          <w:rFonts w:eastAsiaTheme="minorHAnsi"/>
          <w:snapToGrid/>
          <w:szCs w:val="24"/>
        </w:rPr>
        <w:t xml:space="preserve">  The trial judge </w:t>
      </w:r>
      <w:r w:rsidR="001D3C92">
        <w:rPr>
          <w:rFonts w:eastAsiaTheme="minorHAnsi"/>
          <w:snapToGrid/>
          <w:szCs w:val="24"/>
        </w:rPr>
        <w:t xml:space="preserve">unfairly </w:t>
      </w:r>
      <w:r w:rsidR="00FF040B">
        <w:rPr>
          <w:rFonts w:eastAsiaTheme="minorHAnsi"/>
          <w:snapToGrid/>
          <w:szCs w:val="24"/>
        </w:rPr>
        <w:t xml:space="preserve">hamstrings the parent’s </w:t>
      </w:r>
      <w:r w:rsidR="00446471">
        <w:rPr>
          <w:rFonts w:eastAsiaTheme="minorHAnsi"/>
          <w:snapToGrid/>
          <w:szCs w:val="24"/>
        </w:rPr>
        <w:t>defense</w:t>
      </w:r>
      <w:r w:rsidR="00FF040B">
        <w:rPr>
          <w:rFonts w:eastAsiaTheme="minorHAnsi"/>
          <w:snapToGrid/>
          <w:szCs w:val="24"/>
        </w:rPr>
        <w:t xml:space="preserve"> and then </w:t>
      </w:r>
      <w:r>
        <w:rPr>
          <w:rFonts w:eastAsiaTheme="minorHAnsi"/>
          <w:snapToGrid/>
          <w:szCs w:val="24"/>
        </w:rPr>
        <w:t xml:space="preserve">bungles the parent-child bond aspect of the </w:t>
      </w:r>
      <w:r w:rsidR="00A350E7">
        <w:rPr>
          <w:rFonts w:eastAsiaTheme="minorHAnsi"/>
          <w:snapToGrid/>
          <w:szCs w:val="24"/>
        </w:rPr>
        <w:t xml:space="preserve">post-adoption contact </w:t>
      </w:r>
      <w:r>
        <w:rPr>
          <w:rFonts w:eastAsiaTheme="minorHAnsi"/>
          <w:snapToGrid/>
          <w:szCs w:val="24"/>
        </w:rPr>
        <w:t>inquiry – arguably the most important part of</w:t>
      </w:r>
      <w:r w:rsidR="00FF040B">
        <w:rPr>
          <w:rFonts w:eastAsiaTheme="minorHAnsi"/>
          <w:snapToGrid/>
          <w:szCs w:val="24"/>
        </w:rPr>
        <w:t xml:space="preserve"> the</w:t>
      </w:r>
      <w:r>
        <w:rPr>
          <w:rFonts w:eastAsiaTheme="minorHAnsi"/>
          <w:snapToGrid/>
          <w:szCs w:val="24"/>
        </w:rPr>
        <w:t xml:space="preserve"> test</w:t>
      </w:r>
      <w:r w:rsidR="00A350E7">
        <w:rPr>
          <w:rFonts w:eastAsiaTheme="minorHAnsi"/>
          <w:snapToGrid/>
          <w:szCs w:val="24"/>
        </w:rPr>
        <w:t xml:space="preserve"> </w:t>
      </w:r>
      <w:r>
        <w:rPr>
          <w:rFonts w:eastAsiaTheme="minorHAnsi"/>
          <w:snapToGrid/>
          <w:szCs w:val="24"/>
        </w:rPr>
        <w:t xml:space="preserve">– and the panel </w:t>
      </w:r>
      <w:r w:rsidR="00FF040B">
        <w:rPr>
          <w:rFonts w:eastAsiaTheme="minorHAnsi"/>
          <w:snapToGrid/>
          <w:szCs w:val="24"/>
        </w:rPr>
        <w:t xml:space="preserve">decides that </w:t>
      </w:r>
      <w:r w:rsidR="00FF040B" w:rsidRPr="00DA5C2A">
        <w:rPr>
          <w:rFonts w:eastAsiaTheme="minorHAnsi"/>
          <w:i/>
          <w:snapToGrid/>
          <w:szCs w:val="24"/>
        </w:rPr>
        <w:t>it doesn’t matter</w:t>
      </w:r>
      <w:r w:rsidR="00FF040B">
        <w:rPr>
          <w:rFonts w:eastAsiaTheme="minorHAnsi"/>
          <w:snapToGrid/>
          <w:szCs w:val="24"/>
        </w:rPr>
        <w:t xml:space="preserve">?  Oh, and the panel got the law wrong, too, because a bond between the child and the pre-adoptive parent doesn’t predetermine the inquiry.  </w:t>
      </w:r>
      <w:r w:rsidR="00A350E7" w:rsidRPr="00A350E7">
        <w:rPr>
          <w:rFonts w:eastAsiaTheme="minorHAnsi"/>
          <w:snapToGrid/>
          <w:szCs w:val="24"/>
          <w:u w:val="single"/>
        </w:rPr>
        <w:t>Vito</w:t>
      </w:r>
      <w:r w:rsidR="00A350E7">
        <w:rPr>
          <w:rFonts w:eastAsiaTheme="minorHAnsi"/>
          <w:snapToGrid/>
          <w:szCs w:val="24"/>
        </w:rPr>
        <w:t xml:space="preserve">, </w:t>
      </w:r>
      <w:r w:rsidR="00A350E7" w:rsidRPr="00A350E7">
        <w:rPr>
          <w:rFonts w:eastAsiaTheme="minorHAnsi"/>
          <w:snapToGrid/>
          <w:szCs w:val="24"/>
          <w:u w:val="single"/>
        </w:rPr>
        <w:t>Rico</w:t>
      </w:r>
      <w:r w:rsidR="00A350E7">
        <w:rPr>
          <w:rFonts w:eastAsiaTheme="minorHAnsi"/>
          <w:snapToGrid/>
          <w:szCs w:val="24"/>
        </w:rPr>
        <w:t xml:space="preserve">, and </w:t>
      </w:r>
      <w:proofErr w:type="spellStart"/>
      <w:r w:rsidR="00A350E7" w:rsidRPr="00A350E7">
        <w:rPr>
          <w:rFonts w:eastAsiaTheme="minorHAnsi"/>
          <w:snapToGrid/>
          <w:szCs w:val="24"/>
          <w:u w:val="single"/>
        </w:rPr>
        <w:t>Ilona</w:t>
      </w:r>
      <w:proofErr w:type="spellEnd"/>
      <w:r w:rsidR="00A350E7">
        <w:rPr>
          <w:rFonts w:eastAsiaTheme="minorHAnsi"/>
          <w:snapToGrid/>
          <w:szCs w:val="24"/>
        </w:rPr>
        <w:t xml:space="preserve"> make that abundantly clear.  </w:t>
      </w:r>
      <w:r w:rsidR="00FF040B">
        <w:rPr>
          <w:rFonts w:eastAsiaTheme="minorHAnsi"/>
          <w:snapToGrid/>
          <w:szCs w:val="24"/>
        </w:rPr>
        <w:t xml:space="preserve">The panel should have remanded on this issue. </w:t>
      </w:r>
    </w:p>
    <w:p w14:paraId="1728C810" w14:textId="4930EB1B" w:rsidR="00DC3BAD" w:rsidRDefault="00DC3BAD" w:rsidP="00D16235">
      <w:pPr>
        <w:widowControl/>
        <w:rPr>
          <w:rFonts w:eastAsiaTheme="minorHAnsi"/>
          <w:b/>
          <w:snapToGrid/>
          <w:szCs w:val="24"/>
        </w:rPr>
      </w:pPr>
    </w:p>
    <w:p w14:paraId="248AE493" w14:textId="0E6F171E" w:rsidR="000F1C25" w:rsidRDefault="00DC3BAD" w:rsidP="00D16235">
      <w:pPr>
        <w:widowControl/>
        <w:rPr>
          <w:b/>
          <w:szCs w:val="24"/>
        </w:rPr>
      </w:pPr>
      <w:r w:rsidRPr="00DC3BAD">
        <w:rPr>
          <w:b/>
          <w:szCs w:val="24"/>
        </w:rPr>
        <w:t>7.</w:t>
      </w:r>
      <w:r w:rsidRPr="00DC3BAD">
        <w:rPr>
          <w:b/>
          <w:szCs w:val="24"/>
        </w:rPr>
        <w:tab/>
      </w:r>
      <w:r w:rsidR="0091624D" w:rsidRPr="000C4A63">
        <w:rPr>
          <w:b/>
          <w:szCs w:val="24"/>
          <w:u w:val="single"/>
        </w:rPr>
        <w:t>Adoption of Maura</w:t>
      </w:r>
      <w:r w:rsidR="0091624D">
        <w:rPr>
          <w:b/>
          <w:szCs w:val="24"/>
        </w:rPr>
        <w:t>, 89 Mass. App. Ct. 1101, No. 15-P-356 (January 14, 2016).</w:t>
      </w:r>
    </w:p>
    <w:p w14:paraId="7F6FB084" w14:textId="77777777" w:rsidR="0091624D" w:rsidRDefault="0091624D" w:rsidP="00D16235">
      <w:pPr>
        <w:widowControl/>
        <w:rPr>
          <w:b/>
          <w:szCs w:val="24"/>
        </w:rPr>
      </w:pPr>
    </w:p>
    <w:p w14:paraId="0932BE54" w14:textId="57139C75" w:rsidR="00B04269" w:rsidRDefault="0091624D" w:rsidP="00D16235">
      <w:pPr>
        <w:widowControl/>
        <w:rPr>
          <w:szCs w:val="24"/>
        </w:rPr>
      </w:pPr>
      <w:r>
        <w:rPr>
          <w:szCs w:val="24"/>
        </w:rPr>
        <w:t xml:space="preserve">This case is </w:t>
      </w:r>
      <w:r w:rsidR="00A350E7">
        <w:rPr>
          <w:szCs w:val="24"/>
        </w:rPr>
        <w:t>noteworthy</w:t>
      </w:r>
      <w:r>
        <w:rPr>
          <w:szCs w:val="24"/>
        </w:rPr>
        <w:t xml:space="preserve"> because of footnote</w:t>
      </w:r>
      <w:r w:rsidR="00DA5C2A">
        <w:rPr>
          <w:szCs w:val="24"/>
        </w:rPr>
        <w:t xml:space="preserve"> 2, which</w:t>
      </w:r>
      <w:r>
        <w:rPr>
          <w:szCs w:val="24"/>
        </w:rPr>
        <w:t xml:space="preserve"> </w:t>
      </w:r>
      <w:r w:rsidR="00DA5C2A">
        <w:rPr>
          <w:szCs w:val="24"/>
        </w:rPr>
        <w:t>suggests a preference of</w:t>
      </w:r>
      <w:r>
        <w:rPr>
          <w:szCs w:val="24"/>
        </w:rPr>
        <w:t xml:space="preserve"> the Appeals Court</w:t>
      </w:r>
      <w:r w:rsidR="00DA5C2A">
        <w:rPr>
          <w:szCs w:val="24"/>
        </w:rPr>
        <w:t xml:space="preserve"> for how counsel should move</w:t>
      </w:r>
      <w:r>
        <w:rPr>
          <w:szCs w:val="24"/>
        </w:rPr>
        <w:t xml:space="preserve"> to dismiss an appeal.  </w:t>
      </w:r>
      <w:r w:rsidR="00DA5C2A">
        <w:rPr>
          <w:szCs w:val="24"/>
        </w:rPr>
        <w:t xml:space="preserve">In </w:t>
      </w:r>
      <w:r w:rsidR="00DA5C2A" w:rsidRPr="00DA5C2A">
        <w:rPr>
          <w:szCs w:val="24"/>
          <w:u w:val="single"/>
        </w:rPr>
        <w:t>Maura</w:t>
      </w:r>
      <w:r>
        <w:rPr>
          <w:szCs w:val="24"/>
        </w:rPr>
        <w:t xml:space="preserve">, the mother filed a motion to withdraw her appeal following the filing of briefs and panel assignment.  The panel denied her motion without prejudice and directed her to re-file her request as a </w:t>
      </w:r>
      <w:r w:rsidR="00DA5C2A">
        <w:rPr>
          <w:szCs w:val="24"/>
        </w:rPr>
        <w:t>“</w:t>
      </w:r>
      <w:r>
        <w:rPr>
          <w:szCs w:val="24"/>
        </w:rPr>
        <w:t>stipulation of dismissal with prejudice signed by all parties.</w:t>
      </w:r>
      <w:r w:rsidR="00DA5C2A">
        <w:rPr>
          <w:szCs w:val="24"/>
        </w:rPr>
        <w:t>”</w:t>
      </w:r>
      <w:r>
        <w:rPr>
          <w:szCs w:val="24"/>
        </w:rPr>
        <w:t xml:space="preserve">  </w:t>
      </w:r>
      <w:r w:rsidR="00DA5C2A">
        <w:rPr>
          <w:szCs w:val="24"/>
        </w:rPr>
        <w:t xml:space="preserve">Because the mother </w:t>
      </w:r>
      <w:r>
        <w:rPr>
          <w:szCs w:val="24"/>
        </w:rPr>
        <w:t xml:space="preserve">did not comply, the panel decided the appeal.  </w:t>
      </w:r>
    </w:p>
    <w:p w14:paraId="272A36DC" w14:textId="77777777" w:rsidR="00B04269" w:rsidRDefault="00B04269" w:rsidP="00D16235">
      <w:pPr>
        <w:widowControl/>
        <w:rPr>
          <w:szCs w:val="24"/>
        </w:rPr>
      </w:pPr>
    </w:p>
    <w:p w14:paraId="7AD3C557" w14:textId="30F8E26F" w:rsidR="0091624D" w:rsidRDefault="00DA5C2A" w:rsidP="00D16235">
      <w:pPr>
        <w:widowControl/>
        <w:rPr>
          <w:szCs w:val="24"/>
        </w:rPr>
      </w:pPr>
      <w:r w:rsidRPr="00DA5C2A">
        <w:rPr>
          <w:szCs w:val="24"/>
          <w:u w:val="single"/>
        </w:rPr>
        <w:t>Maura</w:t>
      </w:r>
      <w:r>
        <w:rPr>
          <w:szCs w:val="24"/>
        </w:rPr>
        <w:t xml:space="preserve"> suggests that, </w:t>
      </w:r>
      <w:r w:rsidR="0091624D">
        <w:rPr>
          <w:szCs w:val="24"/>
        </w:rPr>
        <w:t xml:space="preserve">once </w:t>
      </w:r>
      <w:r>
        <w:rPr>
          <w:szCs w:val="24"/>
        </w:rPr>
        <w:t xml:space="preserve">a panel is assigned to the case, a party seeking to dismiss his or her appeal should </w:t>
      </w:r>
      <w:r w:rsidR="00866EBF">
        <w:rPr>
          <w:szCs w:val="24"/>
        </w:rPr>
        <w:t>get all parties to sign</w:t>
      </w:r>
      <w:r>
        <w:rPr>
          <w:szCs w:val="24"/>
        </w:rPr>
        <w:t xml:space="preserve"> a stipulation </w:t>
      </w:r>
      <w:r w:rsidR="00866EBF">
        <w:rPr>
          <w:szCs w:val="24"/>
        </w:rPr>
        <w:t>of dismissal</w:t>
      </w:r>
      <w:r>
        <w:rPr>
          <w:szCs w:val="24"/>
        </w:rPr>
        <w:t xml:space="preserve"> with prejudice.  </w:t>
      </w:r>
      <w:r w:rsidR="00B04269">
        <w:rPr>
          <w:szCs w:val="24"/>
        </w:rPr>
        <w:t>(Of course, this</w:t>
      </w:r>
      <w:r w:rsidR="00866EBF">
        <w:rPr>
          <w:szCs w:val="24"/>
        </w:rPr>
        <w:t xml:space="preserve"> procedure</w:t>
      </w:r>
      <w:r w:rsidR="00B04269">
        <w:rPr>
          <w:szCs w:val="24"/>
        </w:rPr>
        <w:t xml:space="preserve"> might just be the preference of this panel</w:t>
      </w:r>
      <w:r w:rsidR="00866EBF">
        <w:rPr>
          <w:szCs w:val="24"/>
        </w:rPr>
        <w:t xml:space="preserve"> – Cohen, Meade, and Agnes</w:t>
      </w:r>
      <w:r w:rsidR="00B04269">
        <w:rPr>
          <w:szCs w:val="24"/>
        </w:rPr>
        <w:t>; with a different panel, counsel might want to take the speedier route and file a motion to dismiss with prejudice</w:t>
      </w:r>
      <w:r w:rsidR="0091624D">
        <w:rPr>
          <w:szCs w:val="24"/>
        </w:rPr>
        <w:t>.</w:t>
      </w:r>
      <w:r w:rsidR="00B04269">
        <w:rPr>
          <w:szCs w:val="24"/>
        </w:rPr>
        <w:t>)</w:t>
      </w:r>
    </w:p>
    <w:p w14:paraId="592DD43A" w14:textId="77777777" w:rsidR="007A42EE" w:rsidRDefault="007A42EE" w:rsidP="00D16235">
      <w:pPr>
        <w:widowControl/>
        <w:rPr>
          <w:szCs w:val="24"/>
        </w:rPr>
      </w:pPr>
    </w:p>
    <w:p w14:paraId="67A6D287" w14:textId="1A2A2CBB" w:rsidR="006224DD" w:rsidRDefault="00B04269" w:rsidP="006224DD">
      <w:pPr>
        <w:rPr>
          <w:b/>
          <w:szCs w:val="24"/>
        </w:rPr>
      </w:pPr>
      <w:r>
        <w:rPr>
          <w:b/>
          <w:szCs w:val="24"/>
        </w:rPr>
        <w:t>8</w:t>
      </w:r>
      <w:r w:rsidR="007A42EE">
        <w:rPr>
          <w:b/>
          <w:szCs w:val="24"/>
        </w:rPr>
        <w:t>.</w:t>
      </w:r>
      <w:r w:rsidR="007A42EE">
        <w:rPr>
          <w:b/>
          <w:szCs w:val="24"/>
        </w:rPr>
        <w:tab/>
      </w:r>
      <w:r w:rsidR="006224DD" w:rsidRPr="000C4A63">
        <w:rPr>
          <w:b/>
          <w:szCs w:val="24"/>
          <w:u w:val="single"/>
        </w:rPr>
        <w:t>Adoption of Abraham</w:t>
      </w:r>
      <w:r w:rsidR="006224DD">
        <w:rPr>
          <w:b/>
          <w:szCs w:val="24"/>
        </w:rPr>
        <w:t>, 89 Mass. App. Ct. 1101, No. 15-P-611 (January 15, 2016).</w:t>
      </w:r>
    </w:p>
    <w:p w14:paraId="05E7839A" w14:textId="77777777" w:rsidR="006224DD" w:rsidRDefault="006224DD" w:rsidP="006224DD">
      <w:pPr>
        <w:rPr>
          <w:b/>
          <w:szCs w:val="24"/>
        </w:rPr>
      </w:pPr>
    </w:p>
    <w:p w14:paraId="712413CF" w14:textId="58DEC607" w:rsidR="002C79B8" w:rsidRDefault="002C79B8" w:rsidP="007829A6">
      <w:pPr>
        <w:rPr>
          <w:szCs w:val="24"/>
        </w:rPr>
      </w:pPr>
      <w:r>
        <w:rPr>
          <w:szCs w:val="24"/>
        </w:rPr>
        <w:t>After trial, the judge adjudicated the child in need of care and protection but did not terminate parental rights.  Later, DCF filed a “motion to present additional evidence,” arguing that the parents had committed perjury</w:t>
      </w:r>
      <w:r w:rsidR="00870FC3">
        <w:rPr>
          <w:szCs w:val="24"/>
        </w:rPr>
        <w:t xml:space="preserve"> at trial</w:t>
      </w:r>
      <w:r>
        <w:rPr>
          <w:szCs w:val="24"/>
        </w:rPr>
        <w:t xml:space="preserve">.  The DCF motion did not reference a particular rule.  The judge reopened the evidence and terminated parental rights.  The father appealed.  </w:t>
      </w:r>
    </w:p>
    <w:p w14:paraId="26D8E11A" w14:textId="77777777" w:rsidR="002C79B8" w:rsidRDefault="002C79B8" w:rsidP="007829A6">
      <w:pPr>
        <w:rPr>
          <w:szCs w:val="24"/>
        </w:rPr>
      </w:pPr>
    </w:p>
    <w:p w14:paraId="3194D463" w14:textId="70DD5659" w:rsidR="006224DD" w:rsidRDefault="0043398F" w:rsidP="007829A6">
      <w:pPr>
        <w:rPr>
          <w:szCs w:val="24"/>
        </w:rPr>
      </w:pPr>
      <w:r>
        <w:rPr>
          <w:szCs w:val="24"/>
        </w:rPr>
        <w:t xml:space="preserve">The panel </w:t>
      </w:r>
      <w:r w:rsidR="002C79B8">
        <w:rPr>
          <w:szCs w:val="24"/>
        </w:rPr>
        <w:t>held</w:t>
      </w:r>
      <w:r>
        <w:rPr>
          <w:szCs w:val="24"/>
        </w:rPr>
        <w:t xml:space="preserve"> that </w:t>
      </w:r>
      <w:r w:rsidR="00870FC3">
        <w:rPr>
          <w:szCs w:val="24"/>
        </w:rPr>
        <w:t>DCF’s</w:t>
      </w:r>
      <w:r>
        <w:rPr>
          <w:szCs w:val="24"/>
        </w:rPr>
        <w:t xml:space="preserve"> motion could be analogized </w:t>
      </w:r>
      <w:r w:rsidR="002C79B8">
        <w:rPr>
          <w:szCs w:val="24"/>
        </w:rPr>
        <w:t>to</w:t>
      </w:r>
      <w:r>
        <w:rPr>
          <w:szCs w:val="24"/>
        </w:rPr>
        <w:t xml:space="preserve"> a motion for relief from judgment under </w:t>
      </w:r>
      <w:r w:rsidR="00870FC3">
        <w:rPr>
          <w:szCs w:val="24"/>
        </w:rPr>
        <w:t xml:space="preserve">Rule </w:t>
      </w:r>
      <w:r w:rsidRPr="005244E0">
        <w:rPr>
          <w:szCs w:val="24"/>
        </w:rPr>
        <w:t>60(b</w:t>
      </w:r>
      <w:proofErr w:type="gramStart"/>
      <w:r w:rsidRPr="005244E0">
        <w:rPr>
          <w:szCs w:val="24"/>
        </w:rPr>
        <w:t>)(</w:t>
      </w:r>
      <w:proofErr w:type="gramEnd"/>
      <w:r w:rsidRPr="005244E0">
        <w:rPr>
          <w:szCs w:val="24"/>
        </w:rPr>
        <w:t>3),</w:t>
      </w:r>
      <w:r w:rsidRPr="002E518F">
        <w:rPr>
          <w:szCs w:val="24"/>
        </w:rPr>
        <w:t xml:space="preserve"> </w:t>
      </w:r>
      <w:r w:rsidR="007829A6">
        <w:rPr>
          <w:szCs w:val="24"/>
        </w:rPr>
        <w:t>which allows relief from judgment on the basis of “fraud</w:t>
      </w:r>
      <w:r w:rsidR="002C79B8">
        <w:rPr>
          <w:szCs w:val="24"/>
        </w:rPr>
        <w:t xml:space="preserve"> . . . m</w:t>
      </w:r>
      <w:r w:rsidR="007829A6">
        <w:rPr>
          <w:szCs w:val="24"/>
        </w:rPr>
        <w:t xml:space="preserve">isrepresentation, or other misconduct,” </w:t>
      </w:r>
      <w:r>
        <w:rPr>
          <w:szCs w:val="24"/>
        </w:rPr>
        <w:t>or</w:t>
      </w:r>
      <w:r w:rsidRPr="00BC3D73">
        <w:rPr>
          <w:szCs w:val="24"/>
        </w:rPr>
        <w:t xml:space="preserve"> </w:t>
      </w:r>
      <w:r>
        <w:rPr>
          <w:szCs w:val="24"/>
        </w:rPr>
        <w:t xml:space="preserve">to a motion for new trial under </w:t>
      </w:r>
      <w:r w:rsidR="00870FC3">
        <w:rPr>
          <w:szCs w:val="24"/>
        </w:rPr>
        <w:t>Rule</w:t>
      </w:r>
      <w:r w:rsidRPr="005244E0">
        <w:rPr>
          <w:szCs w:val="24"/>
        </w:rPr>
        <w:t xml:space="preserve"> 59</w:t>
      </w:r>
      <w:r w:rsidR="002C79B8">
        <w:rPr>
          <w:szCs w:val="24"/>
        </w:rPr>
        <w:t>, which allows relief from judgment based on newly discovered evidence which by due diligence could not have been discovered before or during trial</w:t>
      </w:r>
      <w:r w:rsidRPr="005244E0">
        <w:rPr>
          <w:szCs w:val="24"/>
        </w:rPr>
        <w:t>.</w:t>
      </w:r>
      <w:r w:rsidRPr="00BC3D73">
        <w:rPr>
          <w:szCs w:val="24"/>
        </w:rPr>
        <w:t xml:space="preserve"> </w:t>
      </w:r>
      <w:r>
        <w:rPr>
          <w:szCs w:val="24"/>
        </w:rPr>
        <w:t xml:space="preserve"> </w:t>
      </w:r>
      <w:r w:rsidR="007829A6">
        <w:rPr>
          <w:szCs w:val="24"/>
        </w:rPr>
        <w:t xml:space="preserve">DCF alleged, and the judge explicitly found, that the mother and father gave false testimony </w:t>
      </w:r>
      <w:r w:rsidR="002C79B8">
        <w:rPr>
          <w:szCs w:val="24"/>
        </w:rPr>
        <w:t xml:space="preserve">about their relationship </w:t>
      </w:r>
      <w:r w:rsidR="007829A6">
        <w:rPr>
          <w:szCs w:val="24"/>
        </w:rPr>
        <w:t xml:space="preserve">throughout the trial, and the testimony had influenced the judge’s original decision.  </w:t>
      </w:r>
      <w:r w:rsidR="006224DD">
        <w:rPr>
          <w:szCs w:val="24"/>
        </w:rPr>
        <w:t>A</w:t>
      </w:r>
      <w:r w:rsidR="002C79B8">
        <w:rPr>
          <w:szCs w:val="24"/>
        </w:rPr>
        <w:t xml:space="preserve"> trial judge’s</w:t>
      </w:r>
      <w:r w:rsidR="006224DD">
        <w:rPr>
          <w:szCs w:val="24"/>
        </w:rPr>
        <w:t xml:space="preserve"> decision to reopen </w:t>
      </w:r>
      <w:r w:rsidR="007829A6">
        <w:rPr>
          <w:szCs w:val="24"/>
        </w:rPr>
        <w:t xml:space="preserve">evidence can only be set aside upon </w:t>
      </w:r>
      <w:r w:rsidR="006224DD">
        <w:rPr>
          <w:szCs w:val="24"/>
        </w:rPr>
        <w:t xml:space="preserve">a </w:t>
      </w:r>
      <w:r w:rsidR="002C79B8">
        <w:rPr>
          <w:szCs w:val="24"/>
        </w:rPr>
        <w:t>“</w:t>
      </w:r>
      <w:r w:rsidR="006224DD">
        <w:rPr>
          <w:szCs w:val="24"/>
        </w:rPr>
        <w:t>clear show</w:t>
      </w:r>
      <w:r w:rsidR="007829A6">
        <w:rPr>
          <w:szCs w:val="24"/>
        </w:rPr>
        <w:t>ing of an abuse of discretion.</w:t>
      </w:r>
      <w:r w:rsidR="002C79B8">
        <w:rPr>
          <w:szCs w:val="24"/>
        </w:rPr>
        <w:t xml:space="preserve">”  </w:t>
      </w:r>
      <w:r w:rsidR="002C79B8" w:rsidRPr="002C79B8">
        <w:rPr>
          <w:szCs w:val="24"/>
          <w:u w:val="single"/>
        </w:rPr>
        <w:t>See</w:t>
      </w:r>
      <w:r w:rsidR="002C79B8">
        <w:rPr>
          <w:szCs w:val="24"/>
        </w:rPr>
        <w:t xml:space="preserve"> </w:t>
      </w:r>
      <w:r w:rsidR="002C79B8" w:rsidRPr="002C79B8">
        <w:rPr>
          <w:szCs w:val="24"/>
          <w:u w:val="single"/>
        </w:rPr>
        <w:t xml:space="preserve">Pina v. </w:t>
      </w:r>
      <w:r w:rsidR="002C79B8" w:rsidRPr="002C79B8">
        <w:rPr>
          <w:szCs w:val="24"/>
          <w:u w:val="single"/>
        </w:rPr>
        <w:lastRenderedPageBreak/>
        <w:t>McGill Dev. Corp.</w:t>
      </w:r>
      <w:r w:rsidR="002C79B8">
        <w:rPr>
          <w:szCs w:val="24"/>
        </w:rPr>
        <w:t>, 388 Mass. 159, 166 (1983).</w:t>
      </w:r>
      <w:r w:rsidR="00870FC3">
        <w:rPr>
          <w:szCs w:val="24"/>
        </w:rPr>
        <w:t xml:space="preserve"> </w:t>
      </w:r>
      <w:r w:rsidR="007829A6">
        <w:rPr>
          <w:szCs w:val="24"/>
        </w:rPr>
        <w:t xml:space="preserve"> </w:t>
      </w:r>
      <w:r w:rsidR="002C79B8">
        <w:rPr>
          <w:szCs w:val="24"/>
        </w:rPr>
        <w:t>There was no abuse of discretion</w:t>
      </w:r>
      <w:r w:rsidR="006224DD">
        <w:rPr>
          <w:szCs w:val="24"/>
        </w:rPr>
        <w:t xml:space="preserve"> here. </w:t>
      </w:r>
    </w:p>
    <w:p w14:paraId="6327D7B1" w14:textId="77777777" w:rsidR="007829A6" w:rsidRDefault="007829A6" w:rsidP="007829A6">
      <w:pPr>
        <w:rPr>
          <w:i/>
          <w:szCs w:val="24"/>
        </w:rPr>
      </w:pPr>
    </w:p>
    <w:p w14:paraId="522A295E" w14:textId="6C5282AA" w:rsidR="006224DD" w:rsidRDefault="007829A6" w:rsidP="007829A6">
      <w:pPr>
        <w:rPr>
          <w:szCs w:val="24"/>
        </w:rPr>
      </w:pPr>
      <w:r>
        <w:rPr>
          <w:szCs w:val="24"/>
        </w:rPr>
        <w:t>The panel also</w:t>
      </w:r>
      <w:r w:rsidR="006224DD">
        <w:rPr>
          <w:szCs w:val="24"/>
        </w:rPr>
        <w:t xml:space="preserve"> disagreed with the father’s argument that the judge erred in admitting evidence of the fa</w:t>
      </w:r>
      <w:r w:rsidR="0025791A">
        <w:rPr>
          <w:szCs w:val="24"/>
        </w:rPr>
        <w:t>ther’s relapse at the reopened trial.</w:t>
      </w:r>
      <w:r>
        <w:rPr>
          <w:szCs w:val="24"/>
        </w:rPr>
        <w:t xml:space="preserve">  </w:t>
      </w:r>
      <w:r w:rsidR="0025791A">
        <w:rPr>
          <w:szCs w:val="24"/>
        </w:rPr>
        <w:t>T</w:t>
      </w:r>
      <w:r>
        <w:rPr>
          <w:szCs w:val="24"/>
        </w:rPr>
        <w:t xml:space="preserve">he father </w:t>
      </w:r>
      <w:r w:rsidR="0025791A">
        <w:rPr>
          <w:szCs w:val="24"/>
        </w:rPr>
        <w:t>failed</w:t>
      </w:r>
      <w:r w:rsidR="006224DD">
        <w:rPr>
          <w:szCs w:val="24"/>
        </w:rPr>
        <w:t xml:space="preserve"> to object to the evidence</w:t>
      </w:r>
      <w:r>
        <w:rPr>
          <w:szCs w:val="24"/>
        </w:rPr>
        <w:t xml:space="preserve"> at trial</w:t>
      </w:r>
      <w:r w:rsidR="006224DD">
        <w:rPr>
          <w:szCs w:val="24"/>
        </w:rPr>
        <w:t xml:space="preserve">, and therefore </w:t>
      </w:r>
      <w:r w:rsidR="0025791A">
        <w:rPr>
          <w:szCs w:val="24"/>
        </w:rPr>
        <w:t>it</w:t>
      </w:r>
      <w:r w:rsidR="006224DD">
        <w:rPr>
          <w:szCs w:val="24"/>
        </w:rPr>
        <w:t xml:space="preserve"> was properly admitted for all purposes. </w:t>
      </w:r>
      <w:r>
        <w:rPr>
          <w:szCs w:val="24"/>
        </w:rPr>
        <w:t xml:space="preserve"> The panel</w:t>
      </w:r>
      <w:r w:rsidR="006224DD">
        <w:rPr>
          <w:szCs w:val="24"/>
        </w:rPr>
        <w:t xml:space="preserve"> </w:t>
      </w:r>
      <w:r w:rsidR="0025791A">
        <w:rPr>
          <w:szCs w:val="24"/>
        </w:rPr>
        <w:t>affirmed the termination decree</w:t>
      </w:r>
      <w:r w:rsidR="006224DD">
        <w:rPr>
          <w:szCs w:val="24"/>
        </w:rPr>
        <w:t xml:space="preserve">. </w:t>
      </w:r>
    </w:p>
    <w:p w14:paraId="0F01E659" w14:textId="77777777" w:rsidR="005244E0" w:rsidRDefault="005244E0" w:rsidP="007829A6">
      <w:pPr>
        <w:rPr>
          <w:szCs w:val="24"/>
        </w:rPr>
      </w:pPr>
    </w:p>
    <w:p w14:paraId="65E0D3CD" w14:textId="0A3C2120" w:rsidR="0025791A" w:rsidRDefault="0025791A" w:rsidP="005C29C1">
      <w:pPr>
        <w:rPr>
          <w:b/>
          <w:szCs w:val="24"/>
        </w:rPr>
      </w:pPr>
      <w:r>
        <w:rPr>
          <w:b/>
          <w:szCs w:val="24"/>
        </w:rPr>
        <w:t>9</w:t>
      </w:r>
      <w:r w:rsidR="005244E0">
        <w:rPr>
          <w:b/>
          <w:szCs w:val="24"/>
        </w:rPr>
        <w:t>.</w:t>
      </w:r>
      <w:r w:rsidR="005244E0">
        <w:rPr>
          <w:b/>
          <w:szCs w:val="24"/>
        </w:rPr>
        <w:tab/>
      </w:r>
      <w:r w:rsidRPr="006A4693">
        <w:rPr>
          <w:b/>
          <w:szCs w:val="24"/>
          <w:u w:val="single"/>
        </w:rPr>
        <w:t>Adoption of Blaine</w:t>
      </w:r>
      <w:r>
        <w:rPr>
          <w:b/>
          <w:szCs w:val="24"/>
        </w:rPr>
        <w:t>, 89 Mass. App. Ct. 1106, No. 15-P-277 (February 18, 2016).</w:t>
      </w:r>
    </w:p>
    <w:p w14:paraId="345A60B0" w14:textId="77777777" w:rsidR="0025791A" w:rsidRDefault="0025791A" w:rsidP="005C29C1">
      <w:pPr>
        <w:rPr>
          <w:b/>
          <w:szCs w:val="24"/>
        </w:rPr>
      </w:pPr>
    </w:p>
    <w:p w14:paraId="3FCF6C4B" w14:textId="1B01C72B" w:rsidR="0025791A" w:rsidRDefault="0025791A" w:rsidP="005C29C1">
      <w:pPr>
        <w:rPr>
          <w:szCs w:val="24"/>
        </w:rPr>
      </w:pPr>
      <w:r w:rsidRPr="0025791A">
        <w:rPr>
          <w:szCs w:val="24"/>
        </w:rPr>
        <w:t xml:space="preserve">This case </w:t>
      </w:r>
      <w:r>
        <w:rPr>
          <w:szCs w:val="24"/>
        </w:rPr>
        <w:t>contains</w:t>
      </w:r>
      <w:r w:rsidRPr="0025791A">
        <w:rPr>
          <w:szCs w:val="24"/>
        </w:rPr>
        <w:t xml:space="preserve"> nothing of note</w:t>
      </w:r>
      <w:r>
        <w:rPr>
          <w:szCs w:val="24"/>
        </w:rPr>
        <w:t xml:space="preserve">, but it gives us a chance to </w:t>
      </w:r>
      <w:r w:rsidR="006A4693">
        <w:rPr>
          <w:szCs w:val="24"/>
        </w:rPr>
        <w:t>discuss</w:t>
      </w:r>
      <w:r>
        <w:rPr>
          <w:szCs w:val="24"/>
        </w:rPr>
        <w:t xml:space="preserve"> </w:t>
      </w:r>
      <w:r w:rsidR="006A4693">
        <w:rPr>
          <w:szCs w:val="24"/>
        </w:rPr>
        <w:t xml:space="preserve">an issue that pops up in many appeals:  the </w:t>
      </w:r>
      <w:r w:rsidR="00446471">
        <w:rPr>
          <w:szCs w:val="24"/>
        </w:rPr>
        <w:t>appellant-</w:t>
      </w:r>
      <w:r w:rsidR="006A4693">
        <w:rPr>
          <w:szCs w:val="24"/>
        </w:rPr>
        <w:t xml:space="preserve">parent’s own abuse or trauma history.  In a footnote in </w:t>
      </w:r>
      <w:r w:rsidR="006A4693" w:rsidRPr="006A4693">
        <w:rPr>
          <w:szCs w:val="24"/>
          <w:u w:val="single"/>
        </w:rPr>
        <w:t>Blaine</w:t>
      </w:r>
      <w:r w:rsidR="006A4693">
        <w:rPr>
          <w:szCs w:val="24"/>
        </w:rPr>
        <w:t>, the panel notes:</w:t>
      </w:r>
    </w:p>
    <w:p w14:paraId="030D9B56" w14:textId="77777777" w:rsidR="006A4693" w:rsidRDefault="006A4693" w:rsidP="005C29C1">
      <w:pPr>
        <w:rPr>
          <w:szCs w:val="24"/>
        </w:rPr>
      </w:pPr>
    </w:p>
    <w:p w14:paraId="4AEE2467" w14:textId="11633F80" w:rsidR="006A4693" w:rsidRDefault="006A4693" w:rsidP="006A4693">
      <w:pPr>
        <w:ind w:left="720" w:right="720"/>
      </w:pPr>
      <w:r>
        <w:t>We acknowledge that the record indicates that the mother was subjected to severe trauma during her own childhood, including sexual abuse by her own father.  We are not insensitive to the lasting impact that such trauma has had on the mother and on her ability to parent her own children.  We also acknowledge, however, that this history cannot and should not be used to excuse or justify the mother's behavior, as an adult, that threatened the safety of her children.</w:t>
      </w:r>
    </w:p>
    <w:p w14:paraId="545466D9" w14:textId="77777777" w:rsidR="006A4693" w:rsidRDefault="006A4693" w:rsidP="005C29C1">
      <w:pPr>
        <w:rPr>
          <w:szCs w:val="24"/>
        </w:rPr>
      </w:pPr>
    </w:p>
    <w:p w14:paraId="2CF76BDF" w14:textId="0AC46908" w:rsidR="006A4693" w:rsidRPr="0025791A" w:rsidRDefault="006A4693" w:rsidP="005C29C1">
      <w:pPr>
        <w:rPr>
          <w:szCs w:val="24"/>
        </w:rPr>
      </w:pPr>
      <w:r>
        <w:rPr>
          <w:szCs w:val="24"/>
        </w:rPr>
        <w:t xml:space="preserve">Unfortunately, a parent’s own abuse history is common in our cases. But is it worthwhile to </w:t>
      </w:r>
      <w:r w:rsidR="00870FC3">
        <w:rPr>
          <w:szCs w:val="24"/>
        </w:rPr>
        <w:t>discuss</w:t>
      </w:r>
      <w:r>
        <w:rPr>
          <w:szCs w:val="24"/>
        </w:rPr>
        <w:t xml:space="preserve"> it in your Facts section?  Does it make the parent more sympathetic?  Does it </w:t>
      </w:r>
      <w:r w:rsidR="00870FC3">
        <w:rPr>
          <w:szCs w:val="24"/>
        </w:rPr>
        <w:t>evoke</w:t>
      </w:r>
      <w:r>
        <w:rPr>
          <w:szCs w:val="24"/>
        </w:rPr>
        <w:t xml:space="preserve"> feelings of pity in the panel?  </w:t>
      </w:r>
      <w:proofErr w:type="gramStart"/>
      <w:r w:rsidR="00870FC3">
        <w:rPr>
          <w:szCs w:val="24"/>
        </w:rPr>
        <w:t>Feelings of d</w:t>
      </w:r>
      <w:r>
        <w:rPr>
          <w:szCs w:val="24"/>
        </w:rPr>
        <w:t>isgust?</w:t>
      </w:r>
      <w:proofErr w:type="gramEnd"/>
      <w:r>
        <w:rPr>
          <w:szCs w:val="24"/>
        </w:rPr>
        <w:t xml:space="preserve">  Or </w:t>
      </w:r>
      <w:r w:rsidR="00870FC3">
        <w:rPr>
          <w:szCs w:val="24"/>
        </w:rPr>
        <w:t xml:space="preserve">does it bore </w:t>
      </w:r>
      <w:r>
        <w:rPr>
          <w:szCs w:val="24"/>
        </w:rPr>
        <w:t xml:space="preserve">the panel </w:t>
      </w:r>
      <w:r w:rsidR="001C3009">
        <w:rPr>
          <w:szCs w:val="24"/>
        </w:rPr>
        <w:t>because it is irrelevant to the issue before them</w:t>
      </w:r>
      <w:r>
        <w:rPr>
          <w:szCs w:val="24"/>
        </w:rPr>
        <w:t xml:space="preserve">?  This panel acknowledged mother’s history but took pains to note that it didn’t influence them favorably toward her.  I suspect that this </w:t>
      </w:r>
      <w:r w:rsidR="001C3009">
        <w:rPr>
          <w:szCs w:val="24"/>
        </w:rPr>
        <w:t>would be the message from</w:t>
      </w:r>
      <w:r>
        <w:rPr>
          <w:szCs w:val="24"/>
        </w:rPr>
        <w:t xml:space="preserve"> all of the Appeals Court justices.  </w:t>
      </w:r>
      <w:r w:rsidR="001C3009">
        <w:rPr>
          <w:szCs w:val="24"/>
        </w:rPr>
        <w:t>If so</w:t>
      </w:r>
      <w:r>
        <w:rPr>
          <w:szCs w:val="24"/>
        </w:rPr>
        <w:t xml:space="preserve">, it makes little sense to </w:t>
      </w:r>
      <w:r w:rsidR="00870FC3">
        <w:rPr>
          <w:szCs w:val="24"/>
        </w:rPr>
        <w:t>discuss</w:t>
      </w:r>
      <w:r>
        <w:rPr>
          <w:szCs w:val="24"/>
        </w:rPr>
        <w:t xml:space="preserve"> </w:t>
      </w:r>
      <w:r w:rsidR="00446471">
        <w:rPr>
          <w:szCs w:val="24"/>
        </w:rPr>
        <w:t>a parent’s own abuse history</w:t>
      </w:r>
      <w:r>
        <w:rPr>
          <w:szCs w:val="24"/>
        </w:rPr>
        <w:t xml:space="preserve"> in </w:t>
      </w:r>
      <w:r w:rsidR="001C3009">
        <w:rPr>
          <w:szCs w:val="24"/>
        </w:rPr>
        <w:t>a</w:t>
      </w:r>
      <w:r>
        <w:rPr>
          <w:szCs w:val="24"/>
        </w:rPr>
        <w:t xml:space="preserve"> brief unless </w:t>
      </w:r>
      <w:r w:rsidR="00446471">
        <w:rPr>
          <w:szCs w:val="24"/>
        </w:rPr>
        <w:t>it</w:t>
      </w:r>
      <w:r w:rsidR="00870FC3">
        <w:rPr>
          <w:szCs w:val="24"/>
        </w:rPr>
        <w:t xml:space="preserve"> is necessary to explain an</w:t>
      </w:r>
      <w:r>
        <w:rPr>
          <w:szCs w:val="24"/>
        </w:rPr>
        <w:t xml:space="preserve"> important </w:t>
      </w:r>
      <w:r w:rsidR="00870FC3">
        <w:rPr>
          <w:szCs w:val="24"/>
        </w:rPr>
        <w:t>point in</w:t>
      </w:r>
      <w:r>
        <w:rPr>
          <w:szCs w:val="24"/>
        </w:rPr>
        <w:t xml:space="preserve"> the </w:t>
      </w:r>
      <w:r w:rsidR="00870FC3">
        <w:rPr>
          <w:szCs w:val="24"/>
        </w:rPr>
        <w:t>Argument</w:t>
      </w:r>
      <w:r>
        <w:rPr>
          <w:szCs w:val="24"/>
        </w:rPr>
        <w:t xml:space="preserve">.  </w:t>
      </w:r>
      <w:r w:rsidR="001C3009">
        <w:rPr>
          <w:szCs w:val="24"/>
        </w:rPr>
        <w:t>That, I think, is rarely the case.</w:t>
      </w:r>
    </w:p>
    <w:p w14:paraId="5A07AB29" w14:textId="77777777" w:rsidR="0025791A" w:rsidRDefault="0025791A" w:rsidP="005C29C1">
      <w:pPr>
        <w:rPr>
          <w:b/>
          <w:szCs w:val="24"/>
        </w:rPr>
      </w:pPr>
    </w:p>
    <w:p w14:paraId="7E138048" w14:textId="733E33E9" w:rsidR="005C29C1" w:rsidRDefault="0025791A" w:rsidP="005C29C1">
      <w:pPr>
        <w:rPr>
          <w:b/>
          <w:szCs w:val="24"/>
        </w:rPr>
      </w:pPr>
      <w:r>
        <w:rPr>
          <w:b/>
          <w:szCs w:val="24"/>
        </w:rPr>
        <w:t>10.</w:t>
      </w:r>
      <w:r>
        <w:rPr>
          <w:b/>
          <w:szCs w:val="24"/>
        </w:rPr>
        <w:tab/>
      </w:r>
      <w:r w:rsidR="005C29C1" w:rsidRPr="000C4A63">
        <w:rPr>
          <w:b/>
          <w:szCs w:val="24"/>
          <w:u w:val="single"/>
        </w:rPr>
        <w:t>Adoption of Chandler</w:t>
      </w:r>
      <w:r w:rsidR="005C29C1">
        <w:rPr>
          <w:b/>
          <w:szCs w:val="24"/>
        </w:rPr>
        <w:t>, 89 Mass. App. Ct. 1106, No. 15-P-938 (February 18, 2016).</w:t>
      </w:r>
    </w:p>
    <w:p w14:paraId="4D2D4F3A" w14:textId="77777777" w:rsidR="005C29C1" w:rsidRDefault="005C29C1" w:rsidP="005C29C1">
      <w:pPr>
        <w:rPr>
          <w:b/>
          <w:szCs w:val="24"/>
        </w:rPr>
      </w:pPr>
    </w:p>
    <w:p w14:paraId="2A5BEC94" w14:textId="029B4DBC" w:rsidR="005C29C1" w:rsidRDefault="00446471" w:rsidP="005C29C1">
      <w:pPr>
        <w:rPr>
          <w:szCs w:val="24"/>
        </w:rPr>
      </w:pPr>
      <w:r w:rsidRPr="00446471">
        <w:rPr>
          <w:szCs w:val="24"/>
          <w:u w:val="single"/>
        </w:rPr>
        <w:t>Chandler</w:t>
      </w:r>
      <w:r w:rsidR="00870FC3">
        <w:rPr>
          <w:szCs w:val="24"/>
        </w:rPr>
        <w:t xml:space="preserve"> is</w:t>
      </w:r>
      <w:r w:rsidR="001C3009">
        <w:rPr>
          <w:szCs w:val="24"/>
        </w:rPr>
        <w:t xml:space="preserve"> the best case </w:t>
      </w:r>
      <w:r w:rsidR="00870FC3">
        <w:rPr>
          <w:szCs w:val="24"/>
        </w:rPr>
        <w:t>in</w:t>
      </w:r>
      <w:r w:rsidR="001C3009">
        <w:rPr>
          <w:szCs w:val="24"/>
        </w:rPr>
        <w:t xml:space="preserve"> this Bulletin. </w:t>
      </w:r>
      <w:r>
        <w:rPr>
          <w:szCs w:val="24"/>
        </w:rPr>
        <w:t xml:space="preserve"> In this</w:t>
      </w:r>
      <w:r w:rsidR="005C29C1">
        <w:rPr>
          <w:szCs w:val="24"/>
        </w:rPr>
        <w:t xml:space="preserve"> appeal</w:t>
      </w:r>
      <w:r>
        <w:rPr>
          <w:szCs w:val="24"/>
        </w:rPr>
        <w:t xml:space="preserve">, </w:t>
      </w:r>
      <w:r w:rsidR="005C29C1">
        <w:rPr>
          <w:szCs w:val="24"/>
        </w:rPr>
        <w:t>the two oldest of four children claim</w:t>
      </w:r>
      <w:r>
        <w:rPr>
          <w:szCs w:val="24"/>
        </w:rPr>
        <w:t>ed</w:t>
      </w:r>
      <w:r w:rsidR="005C29C1">
        <w:rPr>
          <w:szCs w:val="24"/>
        </w:rPr>
        <w:t xml:space="preserve"> that the trial judge abused his discretion in only ordering four </w:t>
      </w:r>
      <w:r w:rsidR="001C3009">
        <w:rPr>
          <w:szCs w:val="24"/>
        </w:rPr>
        <w:t>post-</w:t>
      </w:r>
      <w:r w:rsidR="00F40E30">
        <w:rPr>
          <w:szCs w:val="24"/>
        </w:rPr>
        <w:t>termination</w:t>
      </w:r>
      <w:r w:rsidR="001C3009">
        <w:rPr>
          <w:szCs w:val="24"/>
        </w:rPr>
        <w:t xml:space="preserve"> </w:t>
      </w:r>
      <w:r w:rsidR="005C29C1">
        <w:rPr>
          <w:szCs w:val="24"/>
        </w:rPr>
        <w:t xml:space="preserve">sibling visits per year. </w:t>
      </w:r>
      <w:r w:rsidR="001C3009">
        <w:rPr>
          <w:szCs w:val="24"/>
        </w:rPr>
        <w:t xml:space="preserve"> Neither of the two was in a pre-adoptive home.  The judge concluded that an order for more than four annual sibling visits “would place too high a burden on prospective adoptive parents” and would “deter them from adopting.”  The judge based this conclusion on </w:t>
      </w:r>
      <w:r w:rsidR="00F40E30">
        <w:rPr>
          <w:szCs w:val="24"/>
        </w:rPr>
        <w:t xml:space="preserve">vague </w:t>
      </w:r>
      <w:r w:rsidR="001C3009">
        <w:rPr>
          <w:szCs w:val="24"/>
        </w:rPr>
        <w:t xml:space="preserve">testimony from a DCF social worker that </w:t>
      </w:r>
      <w:r w:rsidR="00F40E30">
        <w:rPr>
          <w:szCs w:val="24"/>
        </w:rPr>
        <w:t xml:space="preserve">“rigorous” visitation terms “can be a bit of a barrier for [adoptive resources] to keep up </w:t>
      </w:r>
      <w:proofErr w:type="gramStart"/>
      <w:r w:rsidR="00F40E30">
        <w:rPr>
          <w:szCs w:val="24"/>
        </w:rPr>
        <w:t>with[</w:t>
      </w:r>
      <w:proofErr w:type="gramEnd"/>
      <w:r w:rsidR="00F40E30">
        <w:rPr>
          <w:szCs w:val="24"/>
        </w:rPr>
        <w:t xml:space="preserve">.]”  </w:t>
      </w:r>
    </w:p>
    <w:p w14:paraId="238FB6CB" w14:textId="77777777" w:rsidR="005C29C1" w:rsidRDefault="005C29C1" w:rsidP="005C29C1">
      <w:pPr>
        <w:rPr>
          <w:szCs w:val="24"/>
        </w:rPr>
      </w:pPr>
    </w:p>
    <w:p w14:paraId="24CEBE01" w14:textId="15F6E50D" w:rsidR="005C29C1" w:rsidRDefault="0038634D" w:rsidP="0038634D">
      <w:pPr>
        <w:rPr>
          <w:szCs w:val="24"/>
        </w:rPr>
      </w:pPr>
      <w:r>
        <w:rPr>
          <w:szCs w:val="24"/>
        </w:rPr>
        <w:t>The panel concluded that the</w:t>
      </w:r>
      <w:r w:rsidR="00F40E30">
        <w:rPr>
          <w:szCs w:val="24"/>
        </w:rPr>
        <w:t xml:space="preserve"> trial</w:t>
      </w:r>
      <w:r>
        <w:rPr>
          <w:szCs w:val="24"/>
        </w:rPr>
        <w:t xml:space="preserve"> judge</w:t>
      </w:r>
      <w:r w:rsidR="005C29C1">
        <w:rPr>
          <w:szCs w:val="24"/>
        </w:rPr>
        <w:t xml:space="preserve"> abused his discretion. </w:t>
      </w:r>
      <w:r w:rsidR="00F40E30">
        <w:rPr>
          <w:szCs w:val="24"/>
        </w:rPr>
        <w:t>According to the panel, the older siblings lived together for much of their lives and shared a special bond</w:t>
      </w:r>
      <w:r w:rsidR="00870FC3">
        <w:rPr>
          <w:szCs w:val="24"/>
        </w:rPr>
        <w:t xml:space="preserve">; if they never found permanency, </w:t>
      </w:r>
      <w:r w:rsidR="00F40E30">
        <w:rPr>
          <w:szCs w:val="24"/>
        </w:rPr>
        <w:t xml:space="preserve">all they </w:t>
      </w:r>
      <w:r w:rsidR="006C5F03">
        <w:rPr>
          <w:szCs w:val="24"/>
        </w:rPr>
        <w:t xml:space="preserve">had </w:t>
      </w:r>
      <w:r w:rsidR="00F40E30">
        <w:rPr>
          <w:szCs w:val="24"/>
        </w:rPr>
        <w:t xml:space="preserve">was each other.  Most significantly, the panel </w:t>
      </w:r>
      <w:r w:rsidR="0068376A">
        <w:rPr>
          <w:szCs w:val="24"/>
        </w:rPr>
        <w:t>noted</w:t>
      </w:r>
      <w:r w:rsidR="00F40E30">
        <w:rPr>
          <w:szCs w:val="24"/>
        </w:rPr>
        <w:t xml:space="preserve"> that “DCF has failed to articulate any reason why an order for more frequent </w:t>
      </w:r>
      <w:proofErr w:type="spellStart"/>
      <w:r w:rsidR="00F40E30" w:rsidRPr="00D26FA8">
        <w:rPr>
          <w:i/>
          <w:szCs w:val="24"/>
        </w:rPr>
        <w:t>preadoptive</w:t>
      </w:r>
      <w:proofErr w:type="spellEnd"/>
      <w:r w:rsidR="00F40E30">
        <w:rPr>
          <w:szCs w:val="24"/>
        </w:rPr>
        <w:t xml:space="preserve"> visitation between [the older children] would be a barrier to adoption or otherwise would not</w:t>
      </w:r>
      <w:r w:rsidR="0068376A">
        <w:rPr>
          <w:szCs w:val="24"/>
        </w:rPr>
        <w:t xml:space="preserve"> be</w:t>
      </w:r>
      <w:r w:rsidR="00F40E30">
        <w:rPr>
          <w:szCs w:val="24"/>
        </w:rPr>
        <w:t xml:space="preserve"> in their best interests.”</w:t>
      </w:r>
      <w:r w:rsidR="00D26FA8">
        <w:rPr>
          <w:szCs w:val="24"/>
        </w:rPr>
        <w:t xml:space="preserve"> (</w:t>
      </w:r>
      <w:proofErr w:type="gramStart"/>
      <w:r w:rsidR="00D26FA8">
        <w:rPr>
          <w:szCs w:val="24"/>
        </w:rPr>
        <w:t>emphasis</w:t>
      </w:r>
      <w:proofErr w:type="gramEnd"/>
      <w:r w:rsidR="00D26FA8">
        <w:rPr>
          <w:szCs w:val="24"/>
        </w:rPr>
        <w:t xml:space="preserve"> added)  </w:t>
      </w:r>
      <w:r w:rsidR="001316CC">
        <w:rPr>
          <w:szCs w:val="24"/>
        </w:rPr>
        <w:t>The panel</w:t>
      </w:r>
      <w:r w:rsidR="005C29C1">
        <w:rPr>
          <w:szCs w:val="24"/>
        </w:rPr>
        <w:t xml:space="preserve"> remanded the case </w:t>
      </w:r>
      <w:r w:rsidR="00F40E30">
        <w:rPr>
          <w:szCs w:val="24"/>
        </w:rPr>
        <w:t>to</w:t>
      </w:r>
      <w:r w:rsidR="00D103F7">
        <w:rPr>
          <w:szCs w:val="24"/>
        </w:rPr>
        <w:t xml:space="preserve"> the trial court</w:t>
      </w:r>
      <w:r w:rsidR="001316CC">
        <w:rPr>
          <w:szCs w:val="24"/>
        </w:rPr>
        <w:t xml:space="preserve"> </w:t>
      </w:r>
      <w:r w:rsidR="00F40E30">
        <w:rPr>
          <w:szCs w:val="24"/>
        </w:rPr>
        <w:t xml:space="preserve">with instructions </w:t>
      </w:r>
      <w:r w:rsidR="001316CC">
        <w:rPr>
          <w:szCs w:val="24"/>
        </w:rPr>
        <w:t xml:space="preserve">to fashion an order </w:t>
      </w:r>
      <w:r w:rsidR="00F40E30">
        <w:rPr>
          <w:szCs w:val="24"/>
        </w:rPr>
        <w:t>that “practically and reasonably, in the judge’s discretion, provides</w:t>
      </w:r>
      <w:r w:rsidR="001316CC">
        <w:rPr>
          <w:szCs w:val="24"/>
        </w:rPr>
        <w:t xml:space="preserve"> additional </w:t>
      </w:r>
      <w:proofErr w:type="spellStart"/>
      <w:r w:rsidR="001316CC">
        <w:rPr>
          <w:szCs w:val="24"/>
        </w:rPr>
        <w:t>preadoption</w:t>
      </w:r>
      <w:proofErr w:type="spellEnd"/>
      <w:r w:rsidR="001316CC">
        <w:rPr>
          <w:szCs w:val="24"/>
        </w:rPr>
        <w:t xml:space="preserve"> visitation</w:t>
      </w:r>
      <w:r w:rsidR="00F40E30">
        <w:rPr>
          <w:szCs w:val="24"/>
        </w:rPr>
        <w:t>”</w:t>
      </w:r>
      <w:r w:rsidR="001316CC">
        <w:rPr>
          <w:szCs w:val="24"/>
        </w:rPr>
        <w:t xml:space="preserve"> between the two oldest siblings.  </w:t>
      </w:r>
    </w:p>
    <w:p w14:paraId="56EE8AB2" w14:textId="184BA881" w:rsidR="005244E0" w:rsidRDefault="005244E0" w:rsidP="007829A6">
      <w:pPr>
        <w:rPr>
          <w:b/>
          <w:szCs w:val="24"/>
        </w:rPr>
      </w:pPr>
    </w:p>
    <w:p w14:paraId="793E1CE6" w14:textId="7EB8330D" w:rsidR="00F72B95" w:rsidRDefault="00140EC0" w:rsidP="00F72B95">
      <w:pPr>
        <w:rPr>
          <w:b/>
          <w:szCs w:val="24"/>
        </w:rPr>
      </w:pPr>
      <w:r>
        <w:rPr>
          <w:b/>
          <w:szCs w:val="24"/>
        </w:rPr>
        <w:t>11</w:t>
      </w:r>
      <w:r w:rsidR="00F72B95">
        <w:rPr>
          <w:b/>
          <w:szCs w:val="24"/>
        </w:rPr>
        <w:t>.</w:t>
      </w:r>
      <w:r w:rsidR="00F72B95">
        <w:rPr>
          <w:b/>
          <w:szCs w:val="24"/>
        </w:rPr>
        <w:tab/>
      </w:r>
      <w:r w:rsidR="00F72B95" w:rsidRPr="000C4A63">
        <w:rPr>
          <w:b/>
          <w:szCs w:val="24"/>
          <w:u w:val="single"/>
        </w:rPr>
        <w:t>Adoption of Enoch</w:t>
      </w:r>
      <w:r w:rsidR="00F72B95">
        <w:rPr>
          <w:b/>
          <w:szCs w:val="24"/>
        </w:rPr>
        <w:t>, 89 Mass. App. Ct. 1109, No. 15-P-886 (February 29, 2016).</w:t>
      </w:r>
    </w:p>
    <w:p w14:paraId="5EE793DF" w14:textId="77777777" w:rsidR="00F72B95" w:rsidRDefault="00F72B95" w:rsidP="00F72B95">
      <w:pPr>
        <w:rPr>
          <w:b/>
          <w:szCs w:val="24"/>
        </w:rPr>
      </w:pPr>
    </w:p>
    <w:p w14:paraId="176D2223" w14:textId="7EC45C60" w:rsidR="005B5302" w:rsidRDefault="005B5302" w:rsidP="009B71FD">
      <w:pPr>
        <w:rPr>
          <w:szCs w:val="24"/>
        </w:rPr>
      </w:pPr>
      <w:r>
        <w:rPr>
          <w:szCs w:val="24"/>
        </w:rPr>
        <w:t>T</w:t>
      </w:r>
      <w:r w:rsidR="008B2314">
        <w:rPr>
          <w:szCs w:val="24"/>
        </w:rPr>
        <w:t>he mother and children appeal</w:t>
      </w:r>
      <w:r>
        <w:rPr>
          <w:szCs w:val="24"/>
        </w:rPr>
        <w:t>ed</w:t>
      </w:r>
      <w:r w:rsidR="008B2314">
        <w:rPr>
          <w:szCs w:val="24"/>
        </w:rPr>
        <w:t xml:space="preserve"> from th</w:t>
      </w:r>
      <w:r>
        <w:rPr>
          <w:szCs w:val="24"/>
        </w:rPr>
        <w:t>e trial court’s termination of mother’s rights and its denial of their R</w:t>
      </w:r>
      <w:r w:rsidR="008B2314">
        <w:rPr>
          <w:szCs w:val="24"/>
        </w:rPr>
        <w:t>ule 60(b</w:t>
      </w:r>
      <w:proofErr w:type="gramStart"/>
      <w:r w:rsidR="008B2314">
        <w:rPr>
          <w:szCs w:val="24"/>
        </w:rPr>
        <w:t>)(</w:t>
      </w:r>
      <w:proofErr w:type="gramEnd"/>
      <w:r w:rsidR="008B2314">
        <w:rPr>
          <w:szCs w:val="24"/>
        </w:rPr>
        <w:t>6) motion to vacate the termination decree</w:t>
      </w:r>
      <w:r>
        <w:rPr>
          <w:szCs w:val="24"/>
        </w:rPr>
        <w:t>.  Only the latter appeal is of note.  The Rule 60(b</w:t>
      </w:r>
      <w:proofErr w:type="gramStart"/>
      <w:r>
        <w:rPr>
          <w:szCs w:val="24"/>
        </w:rPr>
        <w:t>)(</w:t>
      </w:r>
      <w:proofErr w:type="gramEnd"/>
      <w:r>
        <w:rPr>
          <w:szCs w:val="24"/>
        </w:rPr>
        <w:t>6) motion was based on DCF’s lack of definite placement plans for the children; as a result, the decrees provided “neither stability nor permanency[.]”</w:t>
      </w:r>
      <w:r w:rsidR="008B2314">
        <w:rPr>
          <w:szCs w:val="24"/>
        </w:rPr>
        <w:t xml:space="preserve">  The panel </w:t>
      </w:r>
      <w:r w:rsidR="0068376A">
        <w:rPr>
          <w:szCs w:val="24"/>
        </w:rPr>
        <w:t xml:space="preserve">disagreed and </w:t>
      </w:r>
      <w:r w:rsidR="008B2314">
        <w:rPr>
          <w:szCs w:val="24"/>
        </w:rPr>
        <w:t>concluded that the trial judge did not abuse his discretion in denying the motion</w:t>
      </w:r>
      <w:r>
        <w:rPr>
          <w:szCs w:val="24"/>
        </w:rPr>
        <w:t xml:space="preserve">.  According to the panel, </w:t>
      </w:r>
      <w:r w:rsidR="00F72B95">
        <w:rPr>
          <w:szCs w:val="24"/>
        </w:rPr>
        <w:t xml:space="preserve">a </w:t>
      </w:r>
      <w:r>
        <w:rPr>
          <w:szCs w:val="24"/>
        </w:rPr>
        <w:t>R</w:t>
      </w:r>
      <w:r w:rsidR="00F72B95" w:rsidRPr="008B2314">
        <w:rPr>
          <w:szCs w:val="24"/>
        </w:rPr>
        <w:t>ule 60(b)</w:t>
      </w:r>
      <w:r w:rsidR="00F72B95">
        <w:rPr>
          <w:i/>
          <w:szCs w:val="24"/>
        </w:rPr>
        <w:t xml:space="preserve"> </w:t>
      </w:r>
      <w:r w:rsidR="00F72B95">
        <w:rPr>
          <w:szCs w:val="24"/>
        </w:rPr>
        <w:t>motion is not the app</w:t>
      </w:r>
      <w:r w:rsidR="008B2314">
        <w:rPr>
          <w:szCs w:val="24"/>
        </w:rPr>
        <w:t>ropriate mechanism to address a</w:t>
      </w:r>
      <w:r w:rsidR="00F72B95">
        <w:rPr>
          <w:szCs w:val="24"/>
        </w:rPr>
        <w:t xml:space="preserve"> lack of progress by </w:t>
      </w:r>
      <w:r>
        <w:rPr>
          <w:szCs w:val="24"/>
        </w:rPr>
        <w:t>DCF</w:t>
      </w:r>
      <w:r w:rsidR="00F72B95">
        <w:rPr>
          <w:szCs w:val="24"/>
        </w:rPr>
        <w:t xml:space="preserve"> in implementing </w:t>
      </w:r>
      <w:r>
        <w:rPr>
          <w:szCs w:val="24"/>
        </w:rPr>
        <w:t>a</w:t>
      </w:r>
      <w:r w:rsidR="00F72B95">
        <w:rPr>
          <w:szCs w:val="24"/>
        </w:rPr>
        <w:t xml:space="preserve"> permanency plan; the proper procedure is to add</w:t>
      </w:r>
      <w:r w:rsidR="008B2314">
        <w:rPr>
          <w:szCs w:val="24"/>
        </w:rPr>
        <w:t xml:space="preserve">ress the issue at </w:t>
      </w:r>
      <w:r>
        <w:rPr>
          <w:szCs w:val="24"/>
        </w:rPr>
        <w:t>a</w:t>
      </w:r>
      <w:r w:rsidR="008B2314">
        <w:rPr>
          <w:szCs w:val="24"/>
        </w:rPr>
        <w:t xml:space="preserve"> permanency</w:t>
      </w:r>
      <w:r w:rsidR="00F72B95">
        <w:rPr>
          <w:szCs w:val="24"/>
        </w:rPr>
        <w:t xml:space="preserve"> hearing </w:t>
      </w:r>
      <w:r>
        <w:rPr>
          <w:szCs w:val="24"/>
        </w:rPr>
        <w:t>under</w:t>
      </w:r>
      <w:r w:rsidR="00F72B95">
        <w:rPr>
          <w:szCs w:val="24"/>
        </w:rPr>
        <w:t xml:space="preserve"> </w:t>
      </w:r>
      <w:r w:rsidR="00F72B95" w:rsidRPr="008B2314">
        <w:rPr>
          <w:szCs w:val="24"/>
        </w:rPr>
        <w:t>G. L. c. 119</w:t>
      </w:r>
      <w:r>
        <w:rPr>
          <w:szCs w:val="24"/>
        </w:rPr>
        <w:t>,</w:t>
      </w:r>
      <w:r w:rsidR="00F72B95" w:rsidRPr="008B2314">
        <w:rPr>
          <w:szCs w:val="24"/>
        </w:rPr>
        <w:t xml:space="preserve"> §</w:t>
      </w:r>
      <w:r>
        <w:rPr>
          <w:szCs w:val="24"/>
        </w:rPr>
        <w:t xml:space="preserve"> </w:t>
      </w:r>
      <w:r w:rsidR="00F72B95" w:rsidRPr="008B2314">
        <w:rPr>
          <w:szCs w:val="24"/>
        </w:rPr>
        <w:t>29B</w:t>
      </w:r>
      <w:r w:rsidR="008B2314">
        <w:rPr>
          <w:szCs w:val="24"/>
        </w:rPr>
        <w:t>.</w:t>
      </w:r>
      <w:r w:rsidR="00F72B95">
        <w:rPr>
          <w:szCs w:val="24"/>
        </w:rPr>
        <w:t xml:space="preserve"> </w:t>
      </w:r>
      <w:r w:rsidR="008B2314">
        <w:rPr>
          <w:szCs w:val="24"/>
        </w:rPr>
        <w:t xml:space="preserve"> </w:t>
      </w:r>
      <w:r>
        <w:rPr>
          <w:szCs w:val="24"/>
        </w:rPr>
        <w:t xml:space="preserve">Although the children were of an age to have their wishes heard and considered, the panel noted that their wishes were not outcome determinative.  </w:t>
      </w:r>
      <w:r w:rsidR="0068376A">
        <w:rPr>
          <w:szCs w:val="24"/>
        </w:rPr>
        <w:t>(Three cheers for legal orphan-hood!)</w:t>
      </w:r>
    </w:p>
    <w:p w14:paraId="708257A2" w14:textId="77777777" w:rsidR="005B5302" w:rsidRDefault="005B5302" w:rsidP="009B71FD">
      <w:pPr>
        <w:rPr>
          <w:szCs w:val="24"/>
        </w:rPr>
      </w:pPr>
    </w:p>
    <w:p w14:paraId="2610792C" w14:textId="6D31971C" w:rsidR="004B4CFA" w:rsidRPr="009B71FD" w:rsidRDefault="005B5302" w:rsidP="009B71FD">
      <w:pPr>
        <w:rPr>
          <w:szCs w:val="24"/>
        </w:rPr>
      </w:pPr>
      <w:r>
        <w:rPr>
          <w:szCs w:val="24"/>
        </w:rPr>
        <w:t xml:space="preserve">Where does </w:t>
      </w:r>
      <w:r w:rsidRPr="00140EC0">
        <w:rPr>
          <w:szCs w:val="24"/>
          <w:u w:val="single"/>
        </w:rPr>
        <w:t>Enoch</w:t>
      </w:r>
      <w:r>
        <w:rPr>
          <w:szCs w:val="24"/>
        </w:rPr>
        <w:t xml:space="preserve"> leave us with Rule 60(b)</w:t>
      </w:r>
      <w:r w:rsidR="00140EC0">
        <w:rPr>
          <w:szCs w:val="24"/>
        </w:rPr>
        <w:t xml:space="preserve"> motions based on changed circumstances</w:t>
      </w:r>
      <w:r>
        <w:rPr>
          <w:szCs w:val="24"/>
        </w:rPr>
        <w:t xml:space="preserve">?  As we have noted before, the movants most likely to succeed </w:t>
      </w:r>
      <w:r w:rsidR="00140EC0">
        <w:rPr>
          <w:szCs w:val="24"/>
        </w:rPr>
        <w:t>with such motions</w:t>
      </w:r>
      <w:r>
        <w:rPr>
          <w:szCs w:val="24"/>
        </w:rPr>
        <w:t xml:space="preserve"> are those who can show </w:t>
      </w:r>
      <w:r w:rsidRPr="00140EC0">
        <w:rPr>
          <w:i/>
          <w:szCs w:val="24"/>
        </w:rPr>
        <w:t>both</w:t>
      </w:r>
      <w:r>
        <w:rPr>
          <w:szCs w:val="24"/>
        </w:rPr>
        <w:t xml:space="preserve"> (a) a substantial </w:t>
      </w:r>
      <w:r w:rsidR="00140EC0">
        <w:rPr>
          <w:szCs w:val="24"/>
        </w:rPr>
        <w:t>improvement</w:t>
      </w:r>
      <w:r>
        <w:rPr>
          <w:szCs w:val="24"/>
        </w:rPr>
        <w:t xml:space="preserve"> in circumstances of a parent previously found unfit, </w:t>
      </w:r>
      <w:r w:rsidRPr="00140EC0">
        <w:rPr>
          <w:i/>
          <w:szCs w:val="24"/>
        </w:rPr>
        <w:t>and</w:t>
      </w:r>
      <w:r>
        <w:rPr>
          <w:szCs w:val="24"/>
        </w:rPr>
        <w:t xml:space="preserve"> (b) a placement disruption or some other deterioration </w:t>
      </w:r>
      <w:r w:rsidR="00140EC0">
        <w:rPr>
          <w:szCs w:val="24"/>
        </w:rPr>
        <w:t xml:space="preserve">in the child’s circumstances since termination.  Absent (a) and (b), a change-in-circumstances Rule 60(b) motion is likely doomed. </w:t>
      </w:r>
      <w:r w:rsidR="008B2314">
        <w:rPr>
          <w:szCs w:val="24"/>
        </w:rPr>
        <w:t xml:space="preserve"> </w:t>
      </w:r>
    </w:p>
    <w:p w14:paraId="61054E2C" w14:textId="77777777" w:rsidR="00EF2CEF" w:rsidRPr="004A5A2C" w:rsidRDefault="00EF2CEF" w:rsidP="007D1895">
      <w:pPr>
        <w:tabs>
          <w:tab w:val="left" w:pos="720"/>
        </w:tabs>
        <w:rPr>
          <w:bCs/>
          <w:color w:val="000000"/>
        </w:rPr>
      </w:pPr>
    </w:p>
    <w:p w14:paraId="2394C8E0" w14:textId="77777777" w:rsidR="00893D55" w:rsidRDefault="00893D55" w:rsidP="007D1895">
      <w:pPr>
        <w:pStyle w:val="ListParagraph"/>
        <w:tabs>
          <w:tab w:val="left" w:pos="720"/>
        </w:tabs>
        <w:ind w:left="0"/>
        <w:rPr>
          <w:b/>
          <w:bCs/>
          <w:color w:val="000000"/>
          <w:u w:val="single"/>
        </w:rPr>
      </w:pPr>
      <w:r>
        <w:rPr>
          <w:b/>
          <w:bCs/>
          <w:color w:val="000000"/>
          <w:u w:val="single"/>
        </w:rPr>
        <w:t>Writing Tips</w:t>
      </w:r>
    </w:p>
    <w:p w14:paraId="1DEAF984" w14:textId="77777777" w:rsidR="008F3B04" w:rsidRDefault="008F3B04" w:rsidP="007D1895">
      <w:pPr>
        <w:pStyle w:val="ListParagraph"/>
        <w:tabs>
          <w:tab w:val="left" w:pos="720"/>
        </w:tabs>
        <w:ind w:left="0"/>
        <w:rPr>
          <w:b/>
          <w:bCs/>
          <w:color w:val="000000"/>
          <w:u w:val="single"/>
        </w:rPr>
      </w:pPr>
    </w:p>
    <w:p w14:paraId="5A730303" w14:textId="04372D49" w:rsidR="00D56EE9" w:rsidRPr="00831DCF" w:rsidRDefault="00D56EE9" w:rsidP="00831DCF">
      <w:pPr>
        <w:pStyle w:val="ListParagraph"/>
        <w:widowControl/>
        <w:numPr>
          <w:ilvl w:val="0"/>
          <w:numId w:val="21"/>
        </w:numPr>
        <w:spacing w:after="200" w:line="276" w:lineRule="auto"/>
        <w:ind w:hanging="720"/>
        <w:rPr>
          <w:rFonts w:eastAsia="Calibri"/>
          <w:snapToGrid/>
          <w:szCs w:val="24"/>
          <w:u w:val="single"/>
        </w:rPr>
      </w:pPr>
      <w:r w:rsidRPr="00831DCF">
        <w:rPr>
          <w:rFonts w:eastAsia="Calibri"/>
          <w:snapToGrid/>
          <w:szCs w:val="24"/>
          <w:u w:val="single"/>
        </w:rPr>
        <w:t>Hyphens for Ages and Duration</w:t>
      </w:r>
    </w:p>
    <w:p w14:paraId="14F83B61" w14:textId="463482B8" w:rsidR="00831DCF" w:rsidRDefault="00831DCF" w:rsidP="00831DCF">
      <w:pPr>
        <w:widowControl/>
        <w:rPr>
          <w:rFonts w:eastAsia="Calibri"/>
          <w:snapToGrid/>
          <w:szCs w:val="24"/>
        </w:rPr>
      </w:pPr>
      <w:r>
        <w:rPr>
          <w:rFonts w:eastAsia="Calibri"/>
          <w:snapToGrid/>
          <w:szCs w:val="24"/>
        </w:rPr>
        <w:t>The most common punctuation errors we see</w:t>
      </w:r>
      <w:r w:rsidR="008D1DEC">
        <w:rPr>
          <w:rFonts w:eastAsia="Calibri"/>
          <w:snapToGrid/>
          <w:szCs w:val="24"/>
        </w:rPr>
        <w:t xml:space="preserve"> in briefs</w:t>
      </w:r>
      <w:r>
        <w:rPr>
          <w:rFonts w:eastAsia="Calibri"/>
          <w:snapToGrid/>
          <w:szCs w:val="24"/>
        </w:rPr>
        <w:t xml:space="preserve"> involve hyphens.  Here are some good rules of thumb:</w:t>
      </w:r>
    </w:p>
    <w:p w14:paraId="49F308D2" w14:textId="77777777" w:rsidR="00831DCF" w:rsidRDefault="00831DCF" w:rsidP="00831DCF">
      <w:pPr>
        <w:widowControl/>
        <w:rPr>
          <w:rFonts w:eastAsia="Calibri"/>
          <w:snapToGrid/>
          <w:szCs w:val="24"/>
        </w:rPr>
      </w:pPr>
    </w:p>
    <w:p w14:paraId="09475D90" w14:textId="120AA832" w:rsidR="00D56EE9" w:rsidRDefault="00D56EE9" w:rsidP="00831DCF">
      <w:pPr>
        <w:widowControl/>
        <w:rPr>
          <w:rFonts w:eastAsia="Calibri"/>
          <w:snapToGrid/>
          <w:szCs w:val="24"/>
        </w:rPr>
      </w:pPr>
      <w:r w:rsidRPr="00D56EE9">
        <w:rPr>
          <w:rFonts w:eastAsia="Calibri"/>
          <w:snapToGrid/>
          <w:szCs w:val="24"/>
        </w:rPr>
        <w:t>If the age or duration serves as an adjective that modifies a noun and comes before that noun, hyphenate the entire phrase.</w:t>
      </w:r>
    </w:p>
    <w:p w14:paraId="0BA635DC" w14:textId="77777777" w:rsidR="00831DCF" w:rsidRPr="00D56EE9" w:rsidRDefault="00831DCF" w:rsidP="00831DCF">
      <w:pPr>
        <w:widowControl/>
        <w:rPr>
          <w:rFonts w:eastAsia="Calibri"/>
          <w:snapToGrid/>
          <w:szCs w:val="24"/>
        </w:rPr>
      </w:pPr>
    </w:p>
    <w:p w14:paraId="11DD1E21" w14:textId="2A33FA05" w:rsidR="00D56EE9" w:rsidRPr="00D56EE9" w:rsidRDefault="00D56EE9" w:rsidP="00D56EE9">
      <w:pPr>
        <w:widowControl/>
        <w:numPr>
          <w:ilvl w:val="0"/>
          <w:numId w:val="8"/>
        </w:numPr>
        <w:spacing w:after="200" w:line="276" w:lineRule="auto"/>
        <w:rPr>
          <w:rFonts w:eastAsia="Calibri"/>
          <w:snapToGrid/>
          <w:szCs w:val="24"/>
        </w:rPr>
      </w:pPr>
      <w:r w:rsidRPr="00D56EE9">
        <w:rPr>
          <w:rFonts w:eastAsia="Calibri"/>
          <w:snapToGrid/>
          <w:szCs w:val="24"/>
        </w:rPr>
        <w:t>DCF removed three-year-old Sarah on July 1, 201</w:t>
      </w:r>
      <w:r w:rsidR="00831DCF">
        <w:rPr>
          <w:rFonts w:eastAsia="Calibri"/>
          <w:snapToGrid/>
          <w:szCs w:val="24"/>
        </w:rPr>
        <w:t>6</w:t>
      </w:r>
      <w:r w:rsidRPr="00D56EE9">
        <w:rPr>
          <w:rFonts w:eastAsia="Calibri"/>
          <w:snapToGrid/>
          <w:szCs w:val="24"/>
        </w:rPr>
        <w:t>.</w:t>
      </w:r>
    </w:p>
    <w:p w14:paraId="6AD99008" w14:textId="77777777" w:rsidR="00D56EE9" w:rsidRPr="00D56EE9" w:rsidRDefault="00D56EE9" w:rsidP="00D56EE9">
      <w:pPr>
        <w:widowControl/>
        <w:numPr>
          <w:ilvl w:val="0"/>
          <w:numId w:val="8"/>
        </w:numPr>
        <w:spacing w:after="200" w:line="276" w:lineRule="auto"/>
        <w:rPr>
          <w:rFonts w:eastAsia="Calibri"/>
          <w:snapToGrid/>
          <w:szCs w:val="24"/>
        </w:rPr>
      </w:pPr>
      <w:r w:rsidRPr="00D56EE9">
        <w:rPr>
          <w:rFonts w:eastAsia="Calibri"/>
          <w:snapToGrid/>
          <w:szCs w:val="24"/>
        </w:rPr>
        <w:t>The judge refused to place the children with Aunt Lucy based on her ten-year-old drug offense.</w:t>
      </w:r>
    </w:p>
    <w:p w14:paraId="37777E04" w14:textId="77777777" w:rsidR="00D56EE9" w:rsidRPr="00D56EE9" w:rsidRDefault="00D56EE9" w:rsidP="00D56EE9">
      <w:pPr>
        <w:widowControl/>
        <w:numPr>
          <w:ilvl w:val="0"/>
          <w:numId w:val="8"/>
        </w:numPr>
        <w:spacing w:after="200" w:line="276" w:lineRule="auto"/>
        <w:rPr>
          <w:rFonts w:eastAsia="Calibri"/>
          <w:snapToGrid/>
          <w:szCs w:val="24"/>
        </w:rPr>
      </w:pPr>
      <w:r w:rsidRPr="00D56EE9">
        <w:rPr>
          <w:rFonts w:eastAsia="Calibri"/>
          <w:snapToGrid/>
          <w:szCs w:val="24"/>
        </w:rPr>
        <w:t>The wishes of a ten-year-old child must be considered.</w:t>
      </w:r>
    </w:p>
    <w:p w14:paraId="7E2A23B6" w14:textId="77777777" w:rsidR="00D56EE9" w:rsidRPr="00D56EE9" w:rsidRDefault="00D56EE9" w:rsidP="00D56EE9">
      <w:pPr>
        <w:widowControl/>
        <w:numPr>
          <w:ilvl w:val="0"/>
          <w:numId w:val="8"/>
        </w:numPr>
        <w:spacing w:after="200" w:line="276" w:lineRule="auto"/>
        <w:rPr>
          <w:rFonts w:eastAsia="Calibri"/>
          <w:snapToGrid/>
          <w:szCs w:val="24"/>
        </w:rPr>
      </w:pPr>
      <w:r w:rsidRPr="00D56EE9">
        <w:rPr>
          <w:rFonts w:eastAsia="Calibri"/>
          <w:snapToGrid/>
          <w:szCs w:val="24"/>
        </w:rPr>
        <w:t>Mother never addressed her seven-year substance abuse problem.</w:t>
      </w:r>
    </w:p>
    <w:p w14:paraId="31A8E92A" w14:textId="77777777" w:rsidR="00D56EE9" w:rsidRPr="00D56EE9" w:rsidRDefault="00D56EE9" w:rsidP="00D56EE9">
      <w:pPr>
        <w:widowControl/>
        <w:spacing w:after="200" w:line="276" w:lineRule="auto"/>
        <w:rPr>
          <w:rFonts w:eastAsia="Calibri"/>
          <w:snapToGrid/>
          <w:szCs w:val="24"/>
        </w:rPr>
      </w:pPr>
      <w:r w:rsidRPr="00D56EE9">
        <w:rPr>
          <w:rFonts w:eastAsia="Calibri"/>
          <w:snapToGrid/>
          <w:szCs w:val="24"/>
        </w:rPr>
        <w:t>In any other context, do not use hyphens:</w:t>
      </w:r>
    </w:p>
    <w:p w14:paraId="3805C766" w14:textId="77777777" w:rsidR="00D56EE9" w:rsidRPr="00D56EE9" w:rsidRDefault="00D56EE9" w:rsidP="00D56EE9">
      <w:pPr>
        <w:widowControl/>
        <w:numPr>
          <w:ilvl w:val="0"/>
          <w:numId w:val="9"/>
        </w:numPr>
        <w:spacing w:after="200" w:line="276" w:lineRule="auto"/>
        <w:rPr>
          <w:rFonts w:eastAsia="Calibri"/>
          <w:snapToGrid/>
          <w:szCs w:val="24"/>
        </w:rPr>
      </w:pPr>
      <w:r w:rsidRPr="00D56EE9">
        <w:rPr>
          <w:rFonts w:eastAsia="Calibri"/>
          <w:snapToGrid/>
          <w:szCs w:val="24"/>
        </w:rPr>
        <w:t>Sarah was three years old when DCF removed her.</w:t>
      </w:r>
    </w:p>
    <w:p w14:paraId="50BF7769" w14:textId="77777777" w:rsidR="00D56EE9" w:rsidRPr="00D56EE9" w:rsidRDefault="00D56EE9" w:rsidP="00D56EE9">
      <w:pPr>
        <w:widowControl/>
        <w:numPr>
          <w:ilvl w:val="0"/>
          <w:numId w:val="9"/>
        </w:numPr>
        <w:spacing w:after="200" w:line="276" w:lineRule="auto"/>
        <w:rPr>
          <w:rFonts w:eastAsia="Calibri"/>
          <w:snapToGrid/>
          <w:szCs w:val="24"/>
        </w:rPr>
      </w:pPr>
      <w:r w:rsidRPr="00D56EE9">
        <w:rPr>
          <w:rFonts w:eastAsia="Calibri"/>
          <w:snapToGrid/>
          <w:szCs w:val="24"/>
        </w:rPr>
        <w:t>The judge refused to place the children with Aunt Lucy because she had a drug offense that was ten years old.</w:t>
      </w:r>
    </w:p>
    <w:p w14:paraId="5C54CB70" w14:textId="77777777" w:rsidR="00D56EE9" w:rsidRPr="00D56EE9" w:rsidRDefault="00D56EE9" w:rsidP="00D56EE9">
      <w:pPr>
        <w:widowControl/>
        <w:numPr>
          <w:ilvl w:val="0"/>
          <w:numId w:val="9"/>
        </w:numPr>
        <w:spacing w:after="200" w:line="276" w:lineRule="auto"/>
        <w:rPr>
          <w:rFonts w:eastAsia="Calibri"/>
          <w:snapToGrid/>
          <w:szCs w:val="24"/>
        </w:rPr>
      </w:pPr>
      <w:r w:rsidRPr="00D56EE9">
        <w:rPr>
          <w:rFonts w:eastAsia="Calibri"/>
          <w:snapToGrid/>
          <w:szCs w:val="24"/>
        </w:rPr>
        <w:lastRenderedPageBreak/>
        <w:t>Because Robert was ten years old at the time of trial, the judge was required to consider his wishes regarding custody.</w:t>
      </w:r>
    </w:p>
    <w:p w14:paraId="3C0D6ECA" w14:textId="77777777" w:rsidR="00D56EE9" w:rsidRPr="00D56EE9" w:rsidRDefault="00D56EE9" w:rsidP="00D56EE9">
      <w:pPr>
        <w:widowControl/>
        <w:spacing w:after="200" w:line="276" w:lineRule="auto"/>
        <w:ind w:left="360" w:hanging="360"/>
        <w:rPr>
          <w:rFonts w:eastAsia="Calibri"/>
          <w:snapToGrid/>
          <w:szCs w:val="24"/>
        </w:rPr>
      </w:pPr>
      <w:r w:rsidRPr="00D56EE9">
        <w:rPr>
          <w:rFonts w:eastAsia="Calibri"/>
          <w:snapToGrid/>
          <w:szCs w:val="24"/>
        </w:rPr>
        <w:t>Note that certain numbers are always hyphenated.  For example</w:t>
      </w:r>
    </w:p>
    <w:p w14:paraId="6A6012D2" w14:textId="77777777" w:rsidR="00D56EE9" w:rsidRPr="00D56EE9" w:rsidRDefault="00D56EE9" w:rsidP="00D56EE9">
      <w:pPr>
        <w:widowControl/>
        <w:numPr>
          <w:ilvl w:val="0"/>
          <w:numId w:val="10"/>
        </w:numPr>
        <w:spacing w:after="200" w:line="276" w:lineRule="auto"/>
        <w:rPr>
          <w:rFonts w:eastAsia="Calibri"/>
          <w:snapToGrid/>
          <w:szCs w:val="24"/>
        </w:rPr>
      </w:pPr>
      <w:r w:rsidRPr="00D56EE9">
        <w:rPr>
          <w:rFonts w:eastAsia="Calibri"/>
          <w:snapToGrid/>
          <w:szCs w:val="24"/>
        </w:rPr>
        <w:t>Mother is twenty-four years old.  (Don’t connect the word “years” with a hyphen.)</w:t>
      </w:r>
    </w:p>
    <w:p w14:paraId="02BF0185" w14:textId="77777777" w:rsidR="00D56EE9" w:rsidRPr="00D56EE9" w:rsidRDefault="00D56EE9" w:rsidP="00D56EE9">
      <w:pPr>
        <w:widowControl/>
        <w:numPr>
          <w:ilvl w:val="0"/>
          <w:numId w:val="10"/>
        </w:numPr>
        <w:spacing w:after="200" w:line="276" w:lineRule="auto"/>
        <w:rPr>
          <w:rFonts w:eastAsia="Calibri"/>
          <w:snapToGrid/>
          <w:szCs w:val="24"/>
        </w:rPr>
      </w:pPr>
      <w:r w:rsidRPr="00D56EE9">
        <w:rPr>
          <w:rFonts w:eastAsia="Calibri"/>
          <w:snapToGrid/>
          <w:szCs w:val="24"/>
        </w:rPr>
        <w:t>Mother is 24 years old.</w:t>
      </w:r>
    </w:p>
    <w:p w14:paraId="74AA0F20" w14:textId="77777777" w:rsidR="00D56EE9" w:rsidRPr="00D56EE9" w:rsidRDefault="00D56EE9" w:rsidP="00D56EE9">
      <w:pPr>
        <w:widowControl/>
        <w:spacing w:after="200" w:line="276" w:lineRule="auto"/>
        <w:ind w:left="360" w:hanging="360"/>
        <w:rPr>
          <w:rFonts w:eastAsia="Calibri"/>
          <w:snapToGrid/>
          <w:szCs w:val="24"/>
        </w:rPr>
      </w:pPr>
      <w:r w:rsidRPr="00D56EE9">
        <w:rPr>
          <w:rFonts w:eastAsia="Calibri"/>
          <w:snapToGrid/>
          <w:szCs w:val="24"/>
        </w:rPr>
        <w:t xml:space="preserve">But:  </w:t>
      </w:r>
    </w:p>
    <w:p w14:paraId="3B13273A" w14:textId="77777777" w:rsidR="00D56EE9" w:rsidRPr="00D56EE9" w:rsidRDefault="00D56EE9" w:rsidP="00D56EE9">
      <w:pPr>
        <w:widowControl/>
        <w:numPr>
          <w:ilvl w:val="0"/>
          <w:numId w:val="11"/>
        </w:numPr>
        <w:spacing w:after="200" w:line="276" w:lineRule="auto"/>
        <w:rPr>
          <w:rFonts w:eastAsia="Calibri"/>
          <w:snapToGrid/>
          <w:szCs w:val="24"/>
        </w:rPr>
      </w:pPr>
      <w:r w:rsidRPr="00D56EE9">
        <w:rPr>
          <w:rFonts w:eastAsia="Calibri"/>
          <w:snapToGrid/>
          <w:szCs w:val="24"/>
        </w:rPr>
        <w:t>Mother is a 24-year-old Canadian citizen.</w:t>
      </w:r>
    </w:p>
    <w:p w14:paraId="68D4BC80" w14:textId="77777777" w:rsidR="00D56EE9" w:rsidRPr="00D56EE9" w:rsidRDefault="00D56EE9" w:rsidP="00D56EE9">
      <w:pPr>
        <w:widowControl/>
        <w:numPr>
          <w:ilvl w:val="0"/>
          <w:numId w:val="11"/>
        </w:numPr>
        <w:spacing w:after="200" w:line="276" w:lineRule="auto"/>
        <w:rPr>
          <w:rFonts w:eastAsia="Calibri"/>
          <w:snapToGrid/>
          <w:szCs w:val="24"/>
        </w:rPr>
      </w:pPr>
      <w:r w:rsidRPr="00D56EE9">
        <w:rPr>
          <w:rFonts w:eastAsia="Calibri"/>
          <w:snapToGrid/>
          <w:szCs w:val="24"/>
        </w:rPr>
        <w:t>Mother is a twenty-four-year-old Canadian citizen.</w:t>
      </w:r>
    </w:p>
    <w:p w14:paraId="445071F0" w14:textId="77777777" w:rsidR="00D56EE9" w:rsidRPr="00D56EE9" w:rsidRDefault="00D56EE9" w:rsidP="00D56EE9">
      <w:pPr>
        <w:widowControl/>
        <w:spacing w:after="200" w:line="276" w:lineRule="auto"/>
        <w:ind w:left="720" w:hanging="720"/>
        <w:rPr>
          <w:rFonts w:eastAsia="Calibri"/>
          <w:snapToGrid/>
          <w:szCs w:val="24"/>
        </w:rPr>
      </w:pPr>
      <w:r w:rsidRPr="00D56EE9">
        <w:rPr>
          <w:rFonts w:eastAsia="Calibri"/>
          <w:snapToGrid/>
          <w:szCs w:val="24"/>
        </w:rPr>
        <w:t>If “X-year-old” is a compound noun, use hyphens:</w:t>
      </w:r>
    </w:p>
    <w:p w14:paraId="5D2FCC31" w14:textId="77777777" w:rsidR="00D56EE9" w:rsidRPr="00D56EE9" w:rsidRDefault="00D56EE9" w:rsidP="00D56EE9">
      <w:pPr>
        <w:widowControl/>
        <w:numPr>
          <w:ilvl w:val="0"/>
          <w:numId w:val="12"/>
        </w:numPr>
        <w:spacing w:after="200" w:line="276" w:lineRule="auto"/>
        <w:ind w:left="1080"/>
        <w:rPr>
          <w:rFonts w:eastAsia="Calibri"/>
          <w:snapToGrid/>
          <w:szCs w:val="24"/>
        </w:rPr>
      </w:pPr>
      <w:r w:rsidRPr="00D56EE9">
        <w:rPr>
          <w:rFonts w:eastAsia="Calibri"/>
          <w:snapToGrid/>
          <w:szCs w:val="24"/>
        </w:rPr>
        <w:t xml:space="preserve">Robert is a ten-year-old.  </w:t>
      </w:r>
    </w:p>
    <w:p w14:paraId="0DB962FF" w14:textId="77777777" w:rsidR="005D4531" w:rsidRDefault="00D56EE9" w:rsidP="005D4531">
      <w:pPr>
        <w:widowControl/>
        <w:numPr>
          <w:ilvl w:val="0"/>
          <w:numId w:val="12"/>
        </w:numPr>
        <w:spacing w:after="200" w:line="276" w:lineRule="auto"/>
        <w:ind w:left="1080"/>
        <w:rPr>
          <w:rFonts w:eastAsia="Calibri"/>
          <w:snapToGrid/>
          <w:szCs w:val="24"/>
        </w:rPr>
      </w:pPr>
      <w:r w:rsidRPr="00D56EE9">
        <w:rPr>
          <w:rFonts w:eastAsia="Calibri"/>
          <w:snapToGrid/>
          <w:szCs w:val="24"/>
        </w:rPr>
        <w:t xml:space="preserve">Sally, like all fifteen-year-olds who have lived their entire lives in foster care, yearns for permanency.  </w:t>
      </w:r>
    </w:p>
    <w:p w14:paraId="63B3290E" w14:textId="2F21CDFA" w:rsidR="00BF3A5B" w:rsidRDefault="00BF3A5B" w:rsidP="003A5A7A">
      <w:pPr>
        <w:widowControl/>
        <w:ind w:left="1080" w:right="-540" w:hanging="1080"/>
        <w:rPr>
          <w:rFonts w:eastAsia="Calibri"/>
          <w:snapToGrid/>
          <w:szCs w:val="24"/>
        </w:rPr>
      </w:pPr>
      <w:r w:rsidRPr="00BF3A5B">
        <w:rPr>
          <w:rFonts w:eastAsia="Calibri"/>
          <w:snapToGrid/>
          <w:szCs w:val="24"/>
          <w:u w:val="single"/>
        </w:rPr>
        <w:t>See</w:t>
      </w:r>
      <w:r>
        <w:rPr>
          <w:rFonts w:eastAsia="Calibri"/>
          <w:snapToGrid/>
          <w:szCs w:val="24"/>
        </w:rPr>
        <w:t xml:space="preserve"> </w:t>
      </w:r>
      <w:proofErr w:type="gramStart"/>
      <w:r>
        <w:rPr>
          <w:rFonts w:eastAsia="Calibri"/>
          <w:snapToGrid/>
          <w:szCs w:val="24"/>
          <w:u w:val="single"/>
        </w:rPr>
        <w:t>The</w:t>
      </w:r>
      <w:proofErr w:type="gramEnd"/>
      <w:r>
        <w:rPr>
          <w:rFonts w:eastAsia="Calibri"/>
          <w:snapToGrid/>
          <w:szCs w:val="24"/>
          <w:u w:val="single"/>
        </w:rPr>
        <w:t xml:space="preserve"> C</w:t>
      </w:r>
      <w:r w:rsidRPr="00BF3A5B">
        <w:rPr>
          <w:rFonts w:eastAsia="Calibri"/>
          <w:snapToGrid/>
          <w:szCs w:val="24"/>
          <w:u w:val="single"/>
        </w:rPr>
        <w:t>hicago Manual of Style</w:t>
      </w:r>
      <w:r>
        <w:rPr>
          <w:rFonts w:eastAsia="Calibri"/>
          <w:snapToGrid/>
          <w:szCs w:val="24"/>
        </w:rPr>
        <w:t xml:space="preserve">, </w:t>
      </w:r>
      <w:hyperlink r:id="rId11" w:history="1">
        <w:r w:rsidRPr="00123386">
          <w:rPr>
            <w:rStyle w:val="Hyperlink"/>
            <w:rFonts w:eastAsia="Calibri"/>
            <w:snapToGrid/>
            <w:szCs w:val="24"/>
          </w:rPr>
          <w:t>http://www.chicagomanualofstyle.org/16/images/ch07_tab01.pdf</w:t>
        </w:r>
      </w:hyperlink>
      <w:r>
        <w:rPr>
          <w:rFonts w:eastAsia="Calibri"/>
          <w:snapToGrid/>
          <w:szCs w:val="24"/>
        </w:rPr>
        <w:t>)</w:t>
      </w:r>
      <w:r w:rsidR="003A5A7A">
        <w:rPr>
          <w:rFonts w:eastAsia="Calibri"/>
          <w:snapToGrid/>
          <w:szCs w:val="24"/>
        </w:rPr>
        <w:t>;</w:t>
      </w:r>
    </w:p>
    <w:p w14:paraId="130A6712" w14:textId="3EE7ADF0" w:rsidR="00BF3A5B" w:rsidRDefault="00BF3A5B" w:rsidP="003A5A7A">
      <w:pPr>
        <w:widowControl/>
        <w:ind w:left="1080" w:right="-360" w:hanging="1080"/>
        <w:rPr>
          <w:rFonts w:eastAsia="Calibri"/>
          <w:snapToGrid/>
          <w:szCs w:val="24"/>
        </w:rPr>
      </w:pPr>
      <w:r w:rsidRPr="00BF3A5B">
        <w:rPr>
          <w:rFonts w:eastAsia="Calibri"/>
          <w:snapToGrid/>
          <w:szCs w:val="24"/>
          <w:u w:val="single"/>
        </w:rPr>
        <w:t xml:space="preserve">The </w:t>
      </w:r>
      <w:proofErr w:type="spellStart"/>
      <w:r w:rsidRPr="00BF3A5B">
        <w:rPr>
          <w:rFonts w:eastAsia="Calibri"/>
          <w:snapToGrid/>
          <w:szCs w:val="24"/>
          <w:u w:val="single"/>
        </w:rPr>
        <w:t>Grammarist</w:t>
      </w:r>
      <w:proofErr w:type="spellEnd"/>
      <w:r>
        <w:rPr>
          <w:rFonts w:eastAsia="Calibri"/>
          <w:snapToGrid/>
          <w:szCs w:val="24"/>
        </w:rPr>
        <w:t xml:space="preserve">, </w:t>
      </w:r>
      <w:hyperlink r:id="rId12" w:history="1">
        <w:r w:rsidRPr="00123386">
          <w:rPr>
            <w:rStyle w:val="Hyperlink"/>
            <w:rFonts w:eastAsia="Calibri"/>
            <w:snapToGrid/>
            <w:szCs w:val="24"/>
          </w:rPr>
          <w:t>http://grammarist.com/style/ages-hyphenation/</w:t>
        </w:r>
      </w:hyperlink>
      <w:r w:rsidR="003A5A7A">
        <w:rPr>
          <w:rFonts w:eastAsia="Calibri"/>
          <w:snapToGrid/>
          <w:szCs w:val="24"/>
        </w:rPr>
        <w:t>.</w:t>
      </w:r>
    </w:p>
    <w:p w14:paraId="2B50A556" w14:textId="77777777" w:rsidR="00BF3A5B" w:rsidRDefault="00BF3A5B" w:rsidP="00BF3A5B">
      <w:pPr>
        <w:widowControl/>
        <w:spacing w:after="200" w:line="276" w:lineRule="auto"/>
        <w:ind w:left="1080" w:right="-360" w:hanging="1080"/>
        <w:rPr>
          <w:rFonts w:eastAsia="Calibri"/>
          <w:snapToGrid/>
          <w:szCs w:val="24"/>
        </w:rPr>
      </w:pPr>
    </w:p>
    <w:p w14:paraId="1C179965" w14:textId="38596F9B" w:rsidR="005D4531" w:rsidRPr="00831DCF" w:rsidRDefault="005D4531" w:rsidP="00831DCF">
      <w:pPr>
        <w:pStyle w:val="ListParagraph"/>
        <w:widowControl/>
        <w:numPr>
          <w:ilvl w:val="0"/>
          <w:numId w:val="21"/>
        </w:numPr>
        <w:spacing w:after="200" w:line="276" w:lineRule="auto"/>
        <w:ind w:hanging="720"/>
        <w:rPr>
          <w:rFonts w:eastAsia="Calibri"/>
          <w:snapToGrid/>
          <w:szCs w:val="24"/>
          <w:u w:val="single"/>
        </w:rPr>
      </w:pPr>
      <w:r w:rsidRPr="00831DCF">
        <w:rPr>
          <w:rFonts w:eastAsia="Calibri"/>
          <w:snapToGrid/>
          <w:szCs w:val="24"/>
          <w:u w:val="single"/>
        </w:rPr>
        <w:t>Quotation Marks</w:t>
      </w:r>
    </w:p>
    <w:p w14:paraId="5064797A" w14:textId="77777777" w:rsidR="005D4531" w:rsidRPr="005D4531" w:rsidRDefault="005D4531" w:rsidP="005D4531">
      <w:pPr>
        <w:widowControl/>
        <w:spacing w:after="200" w:line="276" w:lineRule="auto"/>
        <w:rPr>
          <w:rFonts w:eastAsia="Calibri"/>
          <w:snapToGrid/>
          <w:szCs w:val="24"/>
        </w:rPr>
      </w:pPr>
      <w:r w:rsidRPr="005D4531">
        <w:rPr>
          <w:rFonts w:eastAsia="Calibri"/>
          <w:snapToGrid/>
          <w:szCs w:val="24"/>
        </w:rPr>
        <w:t>Always put periods and commas inside the quotation marks:</w:t>
      </w:r>
    </w:p>
    <w:p w14:paraId="39952998" w14:textId="010B9430" w:rsidR="005D4531" w:rsidRPr="005D4531" w:rsidRDefault="005D4531" w:rsidP="005D4531">
      <w:pPr>
        <w:widowControl/>
        <w:numPr>
          <w:ilvl w:val="0"/>
          <w:numId w:val="13"/>
        </w:numPr>
        <w:spacing w:after="200" w:line="276" w:lineRule="auto"/>
        <w:rPr>
          <w:rFonts w:eastAsia="Calibri"/>
          <w:snapToGrid/>
          <w:szCs w:val="24"/>
        </w:rPr>
      </w:pPr>
      <w:r w:rsidRPr="005D4531">
        <w:rPr>
          <w:rFonts w:eastAsia="Calibri"/>
          <w:snapToGrid/>
          <w:szCs w:val="24"/>
        </w:rPr>
        <w:t xml:space="preserve">Mother told the DCF social worker that he was a “big, </w:t>
      </w:r>
      <w:r w:rsidR="00831DCF">
        <w:rPr>
          <w:rFonts w:eastAsia="Calibri"/>
          <w:snapToGrid/>
          <w:szCs w:val="24"/>
        </w:rPr>
        <w:t>disgusting</w:t>
      </w:r>
      <w:r w:rsidRPr="005D4531">
        <w:rPr>
          <w:rFonts w:eastAsia="Calibri"/>
          <w:snapToGrid/>
          <w:szCs w:val="24"/>
        </w:rPr>
        <w:t xml:space="preserve"> idiot.”</w:t>
      </w:r>
    </w:p>
    <w:p w14:paraId="2A6971C1" w14:textId="3D4D527C" w:rsidR="005D4531" w:rsidRPr="005D4531" w:rsidRDefault="005D4531" w:rsidP="005D4531">
      <w:pPr>
        <w:widowControl/>
        <w:numPr>
          <w:ilvl w:val="0"/>
          <w:numId w:val="13"/>
        </w:numPr>
        <w:spacing w:after="200" w:line="276" w:lineRule="auto"/>
        <w:rPr>
          <w:rFonts w:eastAsia="Calibri"/>
          <w:snapToGrid/>
          <w:szCs w:val="24"/>
        </w:rPr>
      </w:pPr>
      <w:r w:rsidRPr="005D4531">
        <w:rPr>
          <w:rFonts w:eastAsia="Calibri"/>
          <w:snapToGrid/>
          <w:szCs w:val="24"/>
        </w:rPr>
        <w:t xml:space="preserve">Mother told the DCF social worker that he was a “big, </w:t>
      </w:r>
      <w:r w:rsidR="00831DCF">
        <w:rPr>
          <w:rFonts w:eastAsia="Calibri"/>
          <w:snapToGrid/>
          <w:szCs w:val="24"/>
        </w:rPr>
        <w:t>disgusting</w:t>
      </w:r>
      <w:r w:rsidRPr="005D4531">
        <w:rPr>
          <w:rFonts w:eastAsia="Calibri"/>
          <w:snapToGrid/>
          <w:szCs w:val="24"/>
        </w:rPr>
        <w:t xml:space="preserve"> idiot,” but she then smiled and hugged him.</w:t>
      </w:r>
    </w:p>
    <w:p w14:paraId="2A3DC22C" w14:textId="77777777" w:rsidR="005D4531" w:rsidRPr="005D4531" w:rsidRDefault="005D4531" w:rsidP="005D4531">
      <w:pPr>
        <w:widowControl/>
        <w:spacing w:after="200" w:line="276" w:lineRule="auto"/>
        <w:rPr>
          <w:rFonts w:eastAsia="Calibri"/>
          <w:snapToGrid/>
          <w:szCs w:val="24"/>
        </w:rPr>
      </w:pPr>
      <w:r w:rsidRPr="005D4531">
        <w:rPr>
          <w:rFonts w:eastAsia="Calibri"/>
          <w:snapToGrid/>
          <w:szCs w:val="24"/>
        </w:rPr>
        <w:t>Semi-colons and colons go outside the quotation marks:</w:t>
      </w:r>
    </w:p>
    <w:p w14:paraId="1E4EC949" w14:textId="3F94DB99" w:rsidR="005D4531" w:rsidRPr="005D4531" w:rsidRDefault="005D4531" w:rsidP="005D4531">
      <w:pPr>
        <w:widowControl/>
        <w:numPr>
          <w:ilvl w:val="0"/>
          <w:numId w:val="14"/>
        </w:numPr>
        <w:spacing w:after="200" w:line="276" w:lineRule="auto"/>
        <w:rPr>
          <w:rFonts w:eastAsia="Calibri"/>
          <w:snapToGrid/>
          <w:szCs w:val="24"/>
        </w:rPr>
      </w:pPr>
      <w:r w:rsidRPr="005D4531">
        <w:rPr>
          <w:rFonts w:eastAsia="Calibri"/>
          <w:snapToGrid/>
          <w:szCs w:val="24"/>
        </w:rPr>
        <w:t xml:space="preserve">Mother called the DCF social worker a “big, </w:t>
      </w:r>
      <w:r w:rsidR="00A36811">
        <w:rPr>
          <w:rFonts w:eastAsia="Calibri"/>
          <w:snapToGrid/>
          <w:szCs w:val="24"/>
        </w:rPr>
        <w:t>disgusting</w:t>
      </w:r>
      <w:r w:rsidRPr="005D4531">
        <w:rPr>
          <w:rFonts w:eastAsia="Calibri"/>
          <w:snapToGrid/>
          <w:szCs w:val="24"/>
        </w:rPr>
        <w:t xml:space="preserve"> idiot”; she also threatened to punch him.</w:t>
      </w:r>
    </w:p>
    <w:p w14:paraId="4F8CAAF1" w14:textId="448FEEFD" w:rsidR="00A86CE6" w:rsidRDefault="00BF3A5B" w:rsidP="005D4531">
      <w:pPr>
        <w:tabs>
          <w:tab w:val="left" w:pos="720"/>
        </w:tabs>
        <w:ind w:right="720"/>
        <w:rPr>
          <w:szCs w:val="24"/>
        </w:rPr>
      </w:pPr>
      <w:r w:rsidRPr="003A5A7A">
        <w:rPr>
          <w:szCs w:val="24"/>
          <w:u w:val="single"/>
        </w:rPr>
        <w:t>See</w:t>
      </w:r>
      <w:r>
        <w:rPr>
          <w:szCs w:val="24"/>
        </w:rPr>
        <w:t xml:space="preserve"> </w:t>
      </w:r>
      <w:r w:rsidRPr="003A5A7A">
        <w:rPr>
          <w:szCs w:val="24"/>
          <w:u w:val="single"/>
        </w:rPr>
        <w:t>Purdue Online Writing Lab</w:t>
      </w:r>
      <w:r>
        <w:rPr>
          <w:szCs w:val="24"/>
        </w:rPr>
        <w:t xml:space="preserve">, </w:t>
      </w:r>
      <w:hyperlink r:id="rId13" w:history="1">
        <w:r w:rsidR="003A5A7A" w:rsidRPr="00123386">
          <w:rPr>
            <w:rStyle w:val="Hyperlink"/>
            <w:szCs w:val="24"/>
          </w:rPr>
          <w:t>https://owl.english.purdue.edu/owl/resource/577/01/</w:t>
        </w:r>
      </w:hyperlink>
      <w:r w:rsidR="003A5A7A">
        <w:rPr>
          <w:szCs w:val="24"/>
        </w:rPr>
        <w:t>;</w:t>
      </w:r>
    </w:p>
    <w:p w14:paraId="44D8D2FA" w14:textId="60D038D9" w:rsidR="003A5A7A" w:rsidRDefault="003A5A7A" w:rsidP="005D4531">
      <w:pPr>
        <w:tabs>
          <w:tab w:val="left" w:pos="720"/>
        </w:tabs>
        <w:ind w:right="720"/>
        <w:rPr>
          <w:szCs w:val="24"/>
        </w:rPr>
      </w:pPr>
      <w:r>
        <w:rPr>
          <w:szCs w:val="24"/>
        </w:rPr>
        <w:t xml:space="preserve">Bryan Garner, </w:t>
      </w:r>
      <w:proofErr w:type="spellStart"/>
      <w:r w:rsidRPr="003A5A7A">
        <w:rPr>
          <w:szCs w:val="24"/>
          <w:u w:val="single"/>
        </w:rPr>
        <w:t>LawProse</w:t>
      </w:r>
      <w:proofErr w:type="spellEnd"/>
      <w:r>
        <w:rPr>
          <w:szCs w:val="24"/>
        </w:rPr>
        <w:t xml:space="preserve"> Lesson #160, </w:t>
      </w:r>
      <w:hyperlink r:id="rId14" w:history="1">
        <w:r w:rsidRPr="00123386">
          <w:rPr>
            <w:rStyle w:val="Hyperlink"/>
            <w:szCs w:val="24"/>
          </w:rPr>
          <w:t>http://www.lawprose.org/lawprose-lesson-160-correct-punctuation-with-quotation-marks/</w:t>
        </w:r>
      </w:hyperlink>
      <w:r>
        <w:rPr>
          <w:szCs w:val="24"/>
        </w:rPr>
        <w:t>.</w:t>
      </w:r>
    </w:p>
    <w:p w14:paraId="2EA5C055" w14:textId="77777777" w:rsidR="003A5A7A" w:rsidRDefault="003A5A7A" w:rsidP="005D4531">
      <w:pPr>
        <w:tabs>
          <w:tab w:val="left" w:pos="720"/>
        </w:tabs>
        <w:ind w:right="720"/>
        <w:rPr>
          <w:szCs w:val="24"/>
        </w:rPr>
      </w:pPr>
    </w:p>
    <w:p w14:paraId="63067199" w14:textId="77777777" w:rsidR="003A5A7A" w:rsidRPr="00BF3A5B" w:rsidRDefault="003A5A7A" w:rsidP="005D4531">
      <w:pPr>
        <w:tabs>
          <w:tab w:val="left" w:pos="720"/>
        </w:tabs>
        <w:ind w:right="720"/>
        <w:rPr>
          <w:szCs w:val="24"/>
        </w:rPr>
      </w:pPr>
    </w:p>
    <w:p w14:paraId="4FE3A517" w14:textId="77777777" w:rsidR="00BF3A5B" w:rsidRPr="005D4531" w:rsidRDefault="00BF3A5B" w:rsidP="005D4531">
      <w:pPr>
        <w:tabs>
          <w:tab w:val="left" w:pos="720"/>
        </w:tabs>
        <w:ind w:right="720"/>
        <w:rPr>
          <w:b/>
          <w:szCs w:val="24"/>
          <w:u w:val="single"/>
        </w:rPr>
      </w:pPr>
    </w:p>
    <w:p w14:paraId="7BD564FB" w14:textId="77777777" w:rsidR="003A5A7A" w:rsidRDefault="003A5A7A" w:rsidP="007D1895">
      <w:pPr>
        <w:pStyle w:val="ListParagraph"/>
        <w:tabs>
          <w:tab w:val="left" w:pos="720"/>
        </w:tabs>
        <w:ind w:right="720" w:hanging="720"/>
        <w:rPr>
          <w:b/>
          <w:szCs w:val="24"/>
          <w:u w:val="single"/>
        </w:rPr>
      </w:pPr>
    </w:p>
    <w:p w14:paraId="6286CCF2" w14:textId="77777777" w:rsidR="00DE2FC0" w:rsidRDefault="00DE2FC0" w:rsidP="007D1895">
      <w:pPr>
        <w:pStyle w:val="ListParagraph"/>
        <w:tabs>
          <w:tab w:val="left" w:pos="720"/>
        </w:tabs>
        <w:ind w:right="720" w:hanging="720"/>
        <w:rPr>
          <w:b/>
          <w:szCs w:val="24"/>
          <w:u w:val="single"/>
        </w:rPr>
      </w:pPr>
      <w:r w:rsidRPr="00DE2FC0">
        <w:rPr>
          <w:b/>
          <w:szCs w:val="24"/>
          <w:u w:val="single"/>
        </w:rPr>
        <w:lastRenderedPageBreak/>
        <w:t>Practice Tips</w:t>
      </w:r>
    </w:p>
    <w:p w14:paraId="6871413E" w14:textId="77777777" w:rsidR="00F66A35" w:rsidRDefault="00F66A35" w:rsidP="007D1895">
      <w:pPr>
        <w:pStyle w:val="ListParagraph"/>
        <w:tabs>
          <w:tab w:val="left" w:pos="720"/>
        </w:tabs>
        <w:ind w:right="720" w:hanging="720"/>
        <w:rPr>
          <w:szCs w:val="24"/>
        </w:rPr>
      </w:pPr>
    </w:p>
    <w:p w14:paraId="5BE0E5DA" w14:textId="3D583D98" w:rsidR="00F66A35" w:rsidRPr="00A36811" w:rsidRDefault="00F66A35" w:rsidP="007D1895">
      <w:pPr>
        <w:pStyle w:val="ListParagraph"/>
        <w:tabs>
          <w:tab w:val="left" w:pos="720"/>
        </w:tabs>
        <w:ind w:right="720" w:hanging="720"/>
        <w:rPr>
          <w:szCs w:val="24"/>
          <w:u w:val="single"/>
        </w:rPr>
      </w:pPr>
      <w:r w:rsidRPr="00A36811">
        <w:rPr>
          <w:szCs w:val="24"/>
          <w:u w:val="single"/>
        </w:rPr>
        <w:t>Rule 60(b</w:t>
      </w:r>
      <w:proofErr w:type="gramStart"/>
      <w:r w:rsidRPr="00A36811">
        <w:rPr>
          <w:szCs w:val="24"/>
          <w:u w:val="single"/>
        </w:rPr>
        <w:t>)(</w:t>
      </w:r>
      <w:proofErr w:type="gramEnd"/>
      <w:r w:rsidRPr="00A36811">
        <w:rPr>
          <w:szCs w:val="24"/>
          <w:u w:val="single"/>
        </w:rPr>
        <w:t>6) Relief</w:t>
      </w:r>
      <w:r w:rsidR="00A36811">
        <w:rPr>
          <w:szCs w:val="24"/>
          <w:u w:val="single"/>
        </w:rPr>
        <w:t xml:space="preserve"> – Changes in the Law</w:t>
      </w:r>
    </w:p>
    <w:p w14:paraId="5289EC91" w14:textId="77777777" w:rsidR="009B71FD" w:rsidRDefault="009B71FD" w:rsidP="009B71FD">
      <w:pPr>
        <w:tabs>
          <w:tab w:val="left" w:pos="720"/>
        </w:tabs>
        <w:ind w:right="720"/>
        <w:rPr>
          <w:b/>
          <w:szCs w:val="24"/>
        </w:rPr>
      </w:pPr>
    </w:p>
    <w:p w14:paraId="456478A5" w14:textId="4E4A1C7C" w:rsidR="00F66A35" w:rsidRDefault="009B71FD" w:rsidP="009B71FD">
      <w:pPr>
        <w:tabs>
          <w:tab w:val="left" w:pos="720"/>
        </w:tabs>
        <w:ind w:right="720"/>
      </w:pPr>
      <w:r w:rsidRPr="009B71FD">
        <w:rPr>
          <w:szCs w:val="24"/>
          <w:u w:val="single"/>
        </w:rPr>
        <w:t>DeMarco v. DeMarco</w:t>
      </w:r>
      <w:r w:rsidRPr="009B71FD">
        <w:rPr>
          <w:szCs w:val="24"/>
        </w:rPr>
        <w:t>, 89 M</w:t>
      </w:r>
      <w:r>
        <w:rPr>
          <w:szCs w:val="24"/>
        </w:rPr>
        <w:t>ass. App. Ct. 618 (2016)</w:t>
      </w:r>
      <w:r w:rsidR="00A36811">
        <w:rPr>
          <w:szCs w:val="24"/>
        </w:rPr>
        <w:t>, is</w:t>
      </w:r>
      <w:r>
        <w:rPr>
          <w:szCs w:val="24"/>
        </w:rPr>
        <w:t xml:space="preserve"> not substantively relevant</w:t>
      </w:r>
      <w:r>
        <w:t xml:space="preserve"> to our cases, </w:t>
      </w:r>
      <w:r w:rsidR="00A36811">
        <w:t xml:space="preserve">but </w:t>
      </w:r>
      <w:r>
        <w:t>it contains</w:t>
      </w:r>
      <w:r w:rsidR="005B5302">
        <w:t xml:space="preserve"> a detailed discussion of </w:t>
      </w:r>
      <w:r w:rsidR="007F0FB5">
        <w:t xml:space="preserve">the applicability </w:t>
      </w:r>
      <w:r w:rsidR="00120C7E">
        <w:t xml:space="preserve">of </w:t>
      </w:r>
      <w:r w:rsidR="005B5302">
        <w:t>R</w:t>
      </w:r>
      <w:r w:rsidR="00120C7E">
        <w:t>ule 60(b</w:t>
      </w:r>
      <w:proofErr w:type="gramStart"/>
      <w:r w:rsidR="00120C7E">
        <w:t>)(</w:t>
      </w:r>
      <w:proofErr w:type="gramEnd"/>
      <w:r w:rsidR="00120C7E">
        <w:t>6) when changes in the law occur follow</w:t>
      </w:r>
      <w:r w:rsidR="00A50877">
        <w:t>ing final judgment</w:t>
      </w:r>
      <w:r w:rsidR="00120C7E">
        <w:t xml:space="preserve">.  </w:t>
      </w:r>
    </w:p>
    <w:p w14:paraId="2937DE11" w14:textId="77777777" w:rsidR="008A1E3E" w:rsidRDefault="008A1E3E" w:rsidP="009B71FD">
      <w:pPr>
        <w:tabs>
          <w:tab w:val="left" w:pos="720"/>
        </w:tabs>
        <w:ind w:right="720"/>
      </w:pPr>
    </w:p>
    <w:p w14:paraId="28B90EC8" w14:textId="4BE15290" w:rsidR="00B2784C" w:rsidRDefault="008A1E3E" w:rsidP="009B71FD">
      <w:pPr>
        <w:tabs>
          <w:tab w:val="left" w:pos="720"/>
        </w:tabs>
        <w:ind w:right="720"/>
      </w:pPr>
      <w:r>
        <w:t xml:space="preserve">In </w:t>
      </w:r>
      <w:r>
        <w:rPr>
          <w:u w:val="single"/>
        </w:rPr>
        <w:t>DeMarco</w:t>
      </w:r>
      <w:r w:rsidR="00A50877">
        <w:t xml:space="preserve">, the husband and wife reached a settlement agreement in 2014 regarding alimony payments. At that time, the retirement age provision of the </w:t>
      </w:r>
      <w:r w:rsidR="00B2784C">
        <w:t xml:space="preserve">act relating to alimony judgments entered prior to March 2012 </w:t>
      </w:r>
      <w:r w:rsidR="00A50877">
        <w:t xml:space="preserve">was in dispute. </w:t>
      </w:r>
      <w:r w:rsidR="00A36811">
        <w:t xml:space="preserve"> </w:t>
      </w:r>
      <w:r w:rsidR="00B2784C">
        <w:t xml:space="preserve">The husband and wife’s original alimony judgment entered in 2010. </w:t>
      </w:r>
      <w:r w:rsidR="00A36811">
        <w:t xml:space="preserve"> </w:t>
      </w:r>
      <w:r w:rsidR="00B2784C">
        <w:t xml:space="preserve">The judge and the attorneys for the parties operated under the assumption that the relevant portion of the act applied </w:t>
      </w:r>
      <w:r w:rsidR="00B2784C" w:rsidRPr="00B2784C">
        <w:rPr>
          <w:i/>
        </w:rPr>
        <w:t>retroactively</w:t>
      </w:r>
      <w:r w:rsidR="00B2784C">
        <w:t>, and</w:t>
      </w:r>
      <w:r w:rsidR="00A36811">
        <w:t>,</w:t>
      </w:r>
      <w:r w:rsidR="00B2784C">
        <w:t xml:space="preserve"> </w:t>
      </w:r>
      <w:r w:rsidR="008B39B9">
        <w:t>w</w:t>
      </w:r>
      <w:r w:rsidR="00B2784C">
        <w:t xml:space="preserve">ith that in mind, the parties entered into a settlement agreement. </w:t>
      </w:r>
      <w:r w:rsidR="00A36811">
        <w:t>About a</w:t>
      </w:r>
      <w:r w:rsidR="00B2784C">
        <w:t xml:space="preserve"> year later, the SJC issued a trilogy of cases holding that the retirement provision of the act applies </w:t>
      </w:r>
      <w:r w:rsidR="00B2784C" w:rsidRPr="00B2784C">
        <w:rPr>
          <w:i/>
        </w:rPr>
        <w:t>prospectively</w:t>
      </w:r>
      <w:r w:rsidR="00B2784C">
        <w:t xml:space="preserve"> and does not apply to cases where alimony judgments entered prior to March 2012. </w:t>
      </w:r>
    </w:p>
    <w:p w14:paraId="4FF67F99" w14:textId="77777777" w:rsidR="00B2784C" w:rsidRDefault="00B2784C" w:rsidP="009B71FD">
      <w:pPr>
        <w:tabs>
          <w:tab w:val="left" w:pos="720"/>
        </w:tabs>
        <w:ind w:right="720"/>
      </w:pPr>
    </w:p>
    <w:p w14:paraId="4AE7AEEF" w14:textId="4861C0B8" w:rsidR="00B2784C" w:rsidRPr="00B2784C" w:rsidRDefault="00B2784C" w:rsidP="009B71FD">
      <w:pPr>
        <w:tabs>
          <w:tab w:val="left" w:pos="720"/>
        </w:tabs>
        <w:ind w:right="720"/>
      </w:pPr>
      <w:r>
        <w:t xml:space="preserve">The wife filed a motion for relief from judgment </w:t>
      </w:r>
      <w:r w:rsidR="00A36811">
        <w:t>under</w:t>
      </w:r>
      <w:r>
        <w:t xml:space="preserve"> </w:t>
      </w:r>
      <w:r w:rsidR="005B5302">
        <w:t>R</w:t>
      </w:r>
      <w:r>
        <w:t>ule 60(b</w:t>
      </w:r>
      <w:proofErr w:type="gramStart"/>
      <w:r>
        <w:t>)(</w:t>
      </w:r>
      <w:proofErr w:type="gramEnd"/>
      <w:r>
        <w:t>6)</w:t>
      </w:r>
      <w:r w:rsidR="008B39B9">
        <w:t xml:space="preserve"> contending that the judge and both counsel had “relied on a mistake of law” in crafting and approving the 2014 agreement. The trial judge allowed the wife’s motion</w:t>
      </w:r>
      <w:r w:rsidR="00A36811">
        <w:t>,</w:t>
      </w:r>
      <w:r w:rsidR="008B39B9">
        <w:t xml:space="preserve"> and the husband appealed. </w:t>
      </w:r>
    </w:p>
    <w:p w14:paraId="0E2A2A25" w14:textId="77777777" w:rsidR="00120C7E" w:rsidRDefault="00120C7E" w:rsidP="009B71FD">
      <w:pPr>
        <w:tabs>
          <w:tab w:val="left" w:pos="720"/>
        </w:tabs>
        <w:ind w:right="720"/>
      </w:pPr>
    </w:p>
    <w:p w14:paraId="5827AA0D" w14:textId="2FA1030F" w:rsidR="002F4ED3" w:rsidRDefault="008B39B9" w:rsidP="009B71FD">
      <w:pPr>
        <w:tabs>
          <w:tab w:val="left" w:pos="720"/>
        </w:tabs>
        <w:ind w:right="720"/>
      </w:pPr>
      <w:r>
        <w:t xml:space="preserve">The Appeals Court </w:t>
      </w:r>
      <w:r w:rsidR="00A36811">
        <w:t>held</w:t>
      </w:r>
      <w:r>
        <w:t xml:space="preserve"> that the trial judge erred in allowing the wife’s motion.  </w:t>
      </w:r>
      <w:r w:rsidR="005B5302">
        <w:t>The Court explained that R</w:t>
      </w:r>
      <w:r w:rsidR="00120C7E">
        <w:t>ule 60(b</w:t>
      </w:r>
      <w:proofErr w:type="gramStart"/>
      <w:r w:rsidR="00120C7E">
        <w:t>)(</w:t>
      </w:r>
      <w:proofErr w:type="gramEnd"/>
      <w:r w:rsidR="00120C7E">
        <w:t xml:space="preserve">6) has an “extremely meager scope” and requires the showing of “compelling or extraordinary circumstances.” </w:t>
      </w:r>
      <w:proofErr w:type="gramStart"/>
      <w:r w:rsidR="00120C7E">
        <w:rPr>
          <w:u w:val="single"/>
        </w:rPr>
        <w:t>Id.</w:t>
      </w:r>
      <w:r w:rsidR="002F4ED3">
        <w:t xml:space="preserve"> at 621 (c</w:t>
      </w:r>
      <w:r w:rsidR="00120C7E">
        <w:t>itations omitted).</w:t>
      </w:r>
      <w:proofErr w:type="gramEnd"/>
      <w:r w:rsidR="00120C7E">
        <w:t xml:space="preserve">  A </w:t>
      </w:r>
      <w:r w:rsidR="008A1E3E">
        <w:t xml:space="preserve">subsequent clarification of the law or a change in decisional law alone is not the type of extraordinary circumstance justifying the reopening of a final judgment. </w:t>
      </w:r>
      <w:r w:rsidR="002F4ED3">
        <w:t xml:space="preserve"> </w:t>
      </w:r>
      <w:proofErr w:type="gramStart"/>
      <w:r w:rsidR="008A1E3E">
        <w:rPr>
          <w:u w:val="single"/>
        </w:rPr>
        <w:t>Id.</w:t>
      </w:r>
      <w:r w:rsidR="002F4ED3">
        <w:t xml:space="preserve"> at 622</w:t>
      </w:r>
      <w:r w:rsidR="00A36811">
        <w:t xml:space="preserve"> (</w:t>
      </w:r>
      <w:r w:rsidR="008A1E3E">
        <w:rPr>
          <w:i/>
        </w:rPr>
        <w:t>citing</w:t>
      </w:r>
      <w:r w:rsidR="008A1E3E">
        <w:t xml:space="preserve"> </w:t>
      </w:r>
      <w:r w:rsidR="008A1E3E">
        <w:rPr>
          <w:u w:val="single"/>
        </w:rPr>
        <w:t xml:space="preserve">Smith v. </w:t>
      </w:r>
      <w:proofErr w:type="spellStart"/>
      <w:r w:rsidR="008A1E3E">
        <w:rPr>
          <w:u w:val="single"/>
        </w:rPr>
        <w:t>Arbella</w:t>
      </w:r>
      <w:proofErr w:type="spellEnd"/>
      <w:r w:rsidR="008A1E3E">
        <w:rPr>
          <w:u w:val="single"/>
        </w:rPr>
        <w:t xml:space="preserve"> </w:t>
      </w:r>
      <w:proofErr w:type="spellStart"/>
      <w:r w:rsidR="008A1E3E">
        <w:rPr>
          <w:u w:val="single"/>
        </w:rPr>
        <w:t>Mut</w:t>
      </w:r>
      <w:proofErr w:type="spellEnd"/>
      <w:r w:rsidR="008A1E3E">
        <w:rPr>
          <w:u w:val="single"/>
        </w:rPr>
        <w:t>.</w:t>
      </w:r>
      <w:proofErr w:type="gramEnd"/>
      <w:r w:rsidR="008A1E3E">
        <w:rPr>
          <w:u w:val="single"/>
        </w:rPr>
        <w:t xml:space="preserve"> Ins. Co.</w:t>
      </w:r>
      <w:r w:rsidR="008A1E3E">
        <w:t>, 4</w:t>
      </w:r>
      <w:r w:rsidR="002F4ED3">
        <w:t>9 Mass. App. Ct. 53</w:t>
      </w:r>
      <w:r w:rsidR="00446471">
        <w:t xml:space="preserve">, </w:t>
      </w:r>
      <w:r w:rsidR="002F4ED3">
        <w:t>56 (2000) (</w:t>
      </w:r>
      <w:r w:rsidR="00A36811">
        <w:t xml:space="preserve">holding that, </w:t>
      </w:r>
      <w:r w:rsidR="005B5302">
        <w:t>for reasons of finality, a R</w:t>
      </w:r>
      <w:r w:rsidR="008A1E3E">
        <w:t>ule 60(b</w:t>
      </w:r>
      <w:proofErr w:type="gramStart"/>
      <w:r w:rsidR="008A1E3E">
        <w:t>)(</w:t>
      </w:r>
      <w:proofErr w:type="gramEnd"/>
      <w:r w:rsidR="008A1E3E">
        <w:t xml:space="preserve">6) motion is </w:t>
      </w:r>
      <w:r w:rsidR="002F4ED3">
        <w:t>not a substitute for an appeal)</w:t>
      </w:r>
      <w:r w:rsidR="00A36811">
        <w:t xml:space="preserve">); </w:t>
      </w:r>
      <w:r w:rsidR="002F4ED3">
        <w:rPr>
          <w:u w:val="single"/>
        </w:rPr>
        <w:t>Freitas v. Freitas</w:t>
      </w:r>
      <w:r w:rsidR="002F4ED3">
        <w:t xml:space="preserve">, 26 Mass. App. Ct. 196, 198 (1988) (because of the importance of finality, “the rule should not be used as an instrument for relief from deliberate choices which did not work out”).  </w:t>
      </w:r>
    </w:p>
    <w:p w14:paraId="165DB21E" w14:textId="77777777" w:rsidR="00A36811" w:rsidRDefault="00A36811" w:rsidP="009B71FD">
      <w:pPr>
        <w:tabs>
          <w:tab w:val="left" w:pos="720"/>
        </w:tabs>
        <w:ind w:right="720"/>
      </w:pPr>
    </w:p>
    <w:p w14:paraId="2386F361" w14:textId="36505F87" w:rsidR="00A36811" w:rsidRPr="002F4ED3" w:rsidRDefault="00A36811" w:rsidP="009B71FD">
      <w:pPr>
        <w:tabs>
          <w:tab w:val="left" w:pos="720"/>
        </w:tabs>
        <w:ind w:right="720"/>
      </w:pPr>
      <w:r w:rsidRPr="00A36811">
        <w:rPr>
          <w:u w:val="single"/>
        </w:rPr>
        <w:t>DeMarco</w:t>
      </w:r>
      <w:r>
        <w:t xml:space="preserve"> suggests that a Rule 60(b) motion is not a viable vehicle for modifying or vacating a termination decree if the basis for the motion is a </w:t>
      </w:r>
      <w:r w:rsidR="007F0FB5">
        <w:t xml:space="preserve">clarification or </w:t>
      </w:r>
      <w:r>
        <w:t xml:space="preserve">change in the </w:t>
      </w:r>
      <w:r w:rsidR="007F0FB5">
        <w:t xml:space="preserve">case </w:t>
      </w:r>
      <w:r>
        <w:t xml:space="preserve">law.  </w:t>
      </w:r>
      <w:r w:rsidRPr="00A36811">
        <w:rPr>
          <w:u w:val="single"/>
        </w:rPr>
        <w:t>DeMarco</w:t>
      </w:r>
      <w:r>
        <w:t xml:space="preserve"> does not speak to changes in the law based on newly-articulated constitutional rights (e.g., a new right to counsel).</w:t>
      </w:r>
    </w:p>
    <w:p w14:paraId="1F252D24" w14:textId="3C7D2D19" w:rsidR="008A1E3E" w:rsidRPr="008A1E3E" w:rsidRDefault="008A1E3E" w:rsidP="009B71FD">
      <w:pPr>
        <w:tabs>
          <w:tab w:val="left" w:pos="720"/>
        </w:tabs>
        <w:ind w:right="720"/>
        <w:rPr>
          <w:szCs w:val="24"/>
        </w:rPr>
      </w:pPr>
    </w:p>
    <w:p w14:paraId="10455CBB" w14:textId="77777777" w:rsidR="009B71FD" w:rsidRPr="009B71FD" w:rsidRDefault="009B71FD" w:rsidP="009B71FD">
      <w:pPr>
        <w:pStyle w:val="ListParagraph"/>
        <w:tabs>
          <w:tab w:val="left" w:pos="720"/>
        </w:tabs>
        <w:ind w:right="720" w:hanging="720"/>
        <w:rPr>
          <w:szCs w:val="24"/>
        </w:rPr>
      </w:pPr>
    </w:p>
    <w:sectPr w:rsidR="009B71FD" w:rsidRPr="009B71FD" w:rsidSect="008C723C">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B297" w14:textId="77777777" w:rsidR="006A4693" w:rsidRDefault="006A4693" w:rsidP="008C723C">
      <w:r>
        <w:separator/>
      </w:r>
    </w:p>
  </w:endnote>
  <w:endnote w:type="continuationSeparator" w:id="0">
    <w:p w14:paraId="3E8FD27B" w14:textId="77777777" w:rsidR="006A4693" w:rsidRDefault="006A4693"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09E82" w14:textId="77777777" w:rsidR="006A4693" w:rsidRDefault="006A4693">
    <w:pPr>
      <w:pStyle w:val="Footer"/>
      <w:jc w:val="center"/>
    </w:pPr>
    <w:r>
      <w:fldChar w:fldCharType="begin"/>
    </w:r>
    <w:r>
      <w:instrText xml:space="preserve"> PAGE   \* MERGEFORMAT </w:instrText>
    </w:r>
    <w:r>
      <w:fldChar w:fldCharType="separate"/>
    </w:r>
    <w:r w:rsidR="005A6135">
      <w:rPr>
        <w:noProof/>
      </w:rPr>
      <w:t>2</w:t>
    </w:r>
    <w:r>
      <w:fldChar w:fldCharType="end"/>
    </w:r>
  </w:p>
  <w:p w14:paraId="10BD9B00" w14:textId="77777777" w:rsidR="006A4693" w:rsidRDefault="006A4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53D2A" w14:textId="77777777" w:rsidR="006A4693" w:rsidRDefault="006A4693" w:rsidP="008C723C">
      <w:r>
        <w:separator/>
      </w:r>
    </w:p>
  </w:footnote>
  <w:footnote w:type="continuationSeparator" w:id="0">
    <w:p w14:paraId="3F2E8B8A" w14:textId="77777777" w:rsidR="006A4693" w:rsidRDefault="006A4693"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88B"/>
    <w:multiLevelType w:val="hybridMultilevel"/>
    <w:tmpl w:val="9E7C7C2E"/>
    <w:lvl w:ilvl="0" w:tplc="826E2322">
      <w:start w:val="2"/>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3D55D4"/>
    <w:multiLevelType w:val="hybridMultilevel"/>
    <w:tmpl w:val="FC92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E0040"/>
    <w:multiLevelType w:val="hybridMultilevel"/>
    <w:tmpl w:val="773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E7D47"/>
    <w:multiLevelType w:val="hybridMultilevel"/>
    <w:tmpl w:val="AA9E0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AF6A36"/>
    <w:multiLevelType w:val="hybridMultilevel"/>
    <w:tmpl w:val="3C32A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41CA9"/>
    <w:multiLevelType w:val="hybridMultilevel"/>
    <w:tmpl w:val="CC7E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E4FD6"/>
    <w:multiLevelType w:val="hybridMultilevel"/>
    <w:tmpl w:val="139A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A23C1"/>
    <w:multiLevelType w:val="hybridMultilevel"/>
    <w:tmpl w:val="A9C0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E768E"/>
    <w:multiLevelType w:val="hybridMultilevel"/>
    <w:tmpl w:val="A5AC5880"/>
    <w:lvl w:ilvl="0" w:tplc="82DE0A7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9B64B2"/>
    <w:multiLevelType w:val="hybridMultilevel"/>
    <w:tmpl w:val="28E4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A0C2D"/>
    <w:multiLevelType w:val="hybridMultilevel"/>
    <w:tmpl w:val="B7B4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82E24"/>
    <w:multiLevelType w:val="hybridMultilevel"/>
    <w:tmpl w:val="5F30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012C0"/>
    <w:multiLevelType w:val="hybridMultilevel"/>
    <w:tmpl w:val="C3844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07297"/>
    <w:multiLevelType w:val="hybridMultilevel"/>
    <w:tmpl w:val="AF8E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BA71CC"/>
    <w:multiLevelType w:val="hybridMultilevel"/>
    <w:tmpl w:val="C10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FC65B7"/>
    <w:multiLevelType w:val="hybridMultilevel"/>
    <w:tmpl w:val="B0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1C239E"/>
    <w:multiLevelType w:val="hybridMultilevel"/>
    <w:tmpl w:val="41B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E397E"/>
    <w:multiLevelType w:val="hybridMultilevel"/>
    <w:tmpl w:val="C5D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D78D8"/>
    <w:multiLevelType w:val="hybridMultilevel"/>
    <w:tmpl w:val="8588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F468D"/>
    <w:multiLevelType w:val="hybridMultilevel"/>
    <w:tmpl w:val="AC82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B6AD0"/>
    <w:multiLevelType w:val="hybridMultilevel"/>
    <w:tmpl w:val="EABCE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0"/>
  </w:num>
  <w:num w:numId="5">
    <w:abstractNumId w:val="1"/>
  </w:num>
  <w:num w:numId="6">
    <w:abstractNumId w:val="19"/>
  </w:num>
  <w:num w:numId="7">
    <w:abstractNumId w:val="4"/>
  </w:num>
  <w:num w:numId="8">
    <w:abstractNumId w:val="14"/>
  </w:num>
  <w:num w:numId="9">
    <w:abstractNumId w:val="18"/>
  </w:num>
  <w:num w:numId="10">
    <w:abstractNumId w:val="15"/>
  </w:num>
  <w:num w:numId="11">
    <w:abstractNumId w:val="3"/>
  </w:num>
  <w:num w:numId="12">
    <w:abstractNumId w:val="13"/>
  </w:num>
  <w:num w:numId="13">
    <w:abstractNumId w:val="17"/>
  </w:num>
  <w:num w:numId="14">
    <w:abstractNumId w:val="2"/>
  </w:num>
  <w:num w:numId="15">
    <w:abstractNumId w:val="6"/>
  </w:num>
  <w:num w:numId="16">
    <w:abstractNumId w:val="11"/>
  </w:num>
  <w:num w:numId="17">
    <w:abstractNumId w:val="5"/>
  </w:num>
  <w:num w:numId="18">
    <w:abstractNumId w:val="0"/>
  </w:num>
  <w:num w:numId="19">
    <w:abstractNumId w:val="8"/>
  </w:num>
  <w:num w:numId="20">
    <w:abstractNumId w:val="9"/>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02390"/>
    <w:rsid w:val="00014E3A"/>
    <w:rsid w:val="00015CB0"/>
    <w:rsid w:val="000228B3"/>
    <w:rsid w:val="000235D4"/>
    <w:rsid w:val="000250F3"/>
    <w:rsid w:val="000303F9"/>
    <w:rsid w:val="00031C06"/>
    <w:rsid w:val="00033908"/>
    <w:rsid w:val="00034B3A"/>
    <w:rsid w:val="000359C8"/>
    <w:rsid w:val="00036529"/>
    <w:rsid w:val="00037FF3"/>
    <w:rsid w:val="00040BD4"/>
    <w:rsid w:val="00047282"/>
    <w:rsid w:val="00052E51"/>
    <w:rsid w:val="000553F9"/>
    <w:rsid w:val="000609B1"/>
    <w:rsid w:val="00075A80"/>
    <w:rsid w:val="00077442"/>
    <w:rsid w:val="00087255"/>
    <w:rsid w:val="00097C14"/>
    <w:rsid w:val="000A0CBF"/>
    <w:rsid w:val="000A3855"/>
    <w:rsid w:val="000A5493"/>
    <w:rsid w:val="000A71A8"/>
    <w:rsid w:val="000B1D45"/>
    <w:rsid w:val="000B536B"/>
    <w:rsid w:val="000C2349"/>
    <w:rsid w:val="000C45C5"/>
    <w:rsid w:val="000C74D5"/>
    <w:rsid w:val="000D29B4"/>
    <w:rsid w:val="000D4F6F"/>
    <w:rsid w:val="000D541C"/>
    <w:rsid w:val="000E0979"/>
    <w:rsid w:val="000E120F"/>
    <w:rsid w:val="000E47AB"/>
    <w:rsid w:val="000F0EAD"/>
    <w:rsid w:val="000F1C25"/>
    <w:rsid w:val="000F44A3"/>
    <w:rsid w:val="000F5516"/>
    <w:rsid w:val="000F5D17"/>
    <w:rsid w:val="000F6336"/>
    <w:rsid w:val="001015E8"/>
    <w:rsid w:val="00107F2D"/>
    <w:rsid w:val="00112710"/>
    <w:rsid w:val="001173F0"/>
    <w:rsid w:val="00120C7E"/>
    <w:rsid w:val="00124938"/>
    <w:rsid w:val="00130944"/>
    <w:rsid w:val="001316CC"/>
    <w:rsid w:val="0013236B"/>
    <w:rsid w:val="00132EA7"/>
    <w:rsid w:val="00136440"/>
    <w:rsid w:val="00140EC0"/>
    <w:rsid w:val="00142179"/>
    <w:rsid w:val="00150F55"/>
    <w:rsid w:val="00156BE7"/>
    <w:rsid w:val="0016275E"/>
    <w:rsid w:val="001636B0"/>
    <w:rsid w:val="00164854"/>
    <w:rsid w:val="00165ADC"/>
    <w:rsid w:val="00171B19"/>
    <w:rsid w:val="001723CB"/>
    <w:rsid w:val="00174D15"/>
    <w:rsid w:val="00181F6F"/>
    <w:rsid w:val="00183E3A"/>
    <w:rsid w:val="001906F9"/>
    <w:rsid w:val="001923B2"/>
    <w:rsid w:val="00192C50"/>
    <w:rsid w:val="00197B02"/>
    <w:rsid w:val="001A42E5"/>
    <w:rsid w:val="001A4864"/>
    <w:rsid w:val="001A6E5C"/>
    <w:rsid w:val="001B10C7"/>
    <w:rsid w:val="001B245A"/>
    <w:rsid w:val="001B52A1"/>
    <w:rsid w:val="001C3009"/>
    <w:rsid w:val="001C3C99"/>
    <w:rsid w:val="001C4061"/>
    <w:rsid w:val="001C6B8F"/>
    <w:rsid w:val="001C6EBD"/>
    <w:rsid w:val="001D3C92"/>
    <w:rsid w:val="001D5CEB"/>
    <w:rsid w:val="001D5EC5"/>
    <w:rsid w:val="001D78C1"/>
    <w:rsid w:val="001E0318"/>
    <w:rsid w:val="001E1A86"/>
    <w:rsid w:val="001E7ECD"/>
    <w:rsid w:val="001F7F9D"/>
    <w:rsid w:val="0020075D"/>
    <w:rsid w:val="00200824"/>
    <w:rsid w:val="00201DF5"/>
    <w:rsid w:val="00203E15"/>
    <w:rsid w:val="00207465"/>
    <w:rsid w:val="00213B82"/>
    <w:rsid w:val="00216694"/>
    <w:rsid w:val="00220ADD"/>
    <w:rsid w:val="00234B9D"/>
    <w:rsid w:val="002375D2"/>
    <w:rsid w:val="00247963"/>
    <w:rsid w:val="00247BEC"/>
    <w:rsid w:val="00250E96"/>
    <w:rsid w:val="00251F3D"/>
    <w:rsid w:val="00255082"/>
    <w:rsid w:val="00256EF7"/>
    <w:rsid w:val="0025791A"/>
    <w:rsid w:val="002605F1"/>
    <w:rsid w:val="00262D2E"/>
    <w:rsid w:val="00271926"/>
    <w:rsid w:val="00273C29"/>
    <w:rsid w:val="002743A3"/>
    <w:rsid w:val="0029583B"/>
    <w:rsid w:val="002966E6"/>
    <w:rsid w:val="00297744"/>
    <w:rsid w:val="002A19F5"/>
    <w:rsid w:val="002A24C4"/>
    <w:rsid w:val="002A7AF6"/>
    <w:rsid w:val="002B51BF"/>
    <w:rsid w:val="002B60FA"/>
    <w:rsid w:val="002B657D"/>
    <w:rsid w:val="002C19DC"/>
    <w:rsid w:val="002C2D9D"/>
    <w:rsid w:val="002C54FB"/>
    <w:rsid w:val="002C6FF8"/>
    <w:rsid w:val="002C79B8"/>
    <w:rsid w:val="002C7A28"/>
    <w:rsid w:val="002D0C1A"/>
    <w:rsid w:val="002D0C4F"/>
    <w:rsid w:val="002D31EA"/>
    <w:rsid w:val="002D6DFF"/>
    <w:rsid w:val="002D6E20"/>
    <w:rsid w:val="002D7F19"/>
    <w:rsid w:val="002E03EC"/>
    <w:rsid w:val="002F3363"/>
    <w:rsid w:val="002F4B0E"/>
    <w:rsid w:val="002F4ED3"/>
    <w:rsid w:val="002F5D91"/>
    <w:rsid w:val="002F608B"/>
    <w:rsid w:val="00300357"/>
    <w:rsid w:val="00305F2A"/>
    <w:rsid w:val="00306AC3"/>
    <w:rsid w:val="00310E22"/>
    <w:rsid w:val="00321E87"/>
    <w:rsid w:val="00323235"/>
    <w:rsid w:val="00327C4D"/>
    <w:rsid w:val="00345767"/>
    <w:rsid w:val="00345852"/>
    <w:rsid w:val="00345B7F"/>
    <w:rsid w:val="0035234D"/>
    <w:rsid w:val="003557CE"/>
    <w:rsid w:val="003566EB"/>
    <w:rsid w:val="00360EEC"/>
    <w:rsid w:val="003646A3"/>
    <w:rsid w:val="00371044"/>
    <w:rsid w:val="00373105"/>
    <w:rsid w:val="00373F82"/>
    <w:rsid w:val="00383337"/>
    <w:rsid w:val="003862D5"/>
    <w:rsid w:val="0038634D"/>
    <w:rsid w:val="00386E36"/>
    <w:rsid w:val="003A13A3"/>
    <w:rsid w:val="003A441B"/>
    <w:rsid w:val="003A5A7A"/>
    <w:rsid w:val="003A6558"/>
    <w:rsid w:val="003B2A5B"/>
    <w:rsid w:val="003B32AA"/>
    <w:rsid w:val="003C2E28"/>
    <w:rsid w:val="003C4586"/>
    <w:rsid w:val="003C5724"/>
    <w:rsid w:val="003D0435"/>
    <w:rsid w:val="003D3ABB"/>
    <w:rsid w:val="003D4079"/>
    <w:rsid w:val="003E01BB"/>
    <w:rsid w:val="003E225D"/>
    <w:rsid w:val="003E6559"/>
    <w:rsid w:val="003F04A3"/>
    <w:rsid w:val="003F15EE"/>
    <w:rsid w:val="0040042A"/>
    <w:rsid w:val="0040322A"/>
    <w:rsid w:val="00406150"/>
    <w:rsid w:val="004069BB"/>
    <w:rsid w:val="00410BDB"/>
    <w:rsid w:val="00411B61"/>
    <w:rsid w:val="00412376"/>
    <w:rsid w:val="00413B61"/>
    <w:rsid w:val="00413C49"/>
    <w:rsid w:val="0041443A"/>
    <w:rsid w:val="004167EA"/>
    <w:rsid w:val="004264CF"/>
    <w:rsid w:val="00427E0D"/>
    <w:rsid w:val="0043398F"/>
    <w:rsid w:val="00436C31"/>
    <w:rsid w:val="0043761B"/>
    <w:rsid w:val="00440AE3"/>
    <w:rsid w:val="00443848"/>
    <w:rsid w:val="00444170"/>
    <w:rsid w:val="004442D3"/>
    <w:rsid w:val="00446471"/>
    <w:rsid w:val="00452C67"/>
    <w:rsid w:val="00455861"/>
    <w:rsid w:val="00460E98"/>
    <w:rsid w:val="004610BE"/>
    <w:rsid w:val="00467C7E"/>
    <w:rsid w:val="0047326F"/>
    <w:rsid w:val="004749B5"/>
    <w:rsid w:val="00480A91"/>
    <w:rsid w:val="00483FAD"/>
    <w:rsid w:val="004860B8"/>
    <w:rsid w:val="00487278"/>
    <w:rsid w:val="0049142E"/>
    <w:rsid w:val="00494042"/>
    <w:rsid w:val="00494973"/>
    <w:rsid w:val="0049696A"/>
    <w:rsid w:val="00496ADD"/>
    <w:rsid w:val="00496B64"/>
    <w:rsid w:val="004975CA"/>
    <w:rsid w:val="00497A23"/>
    <w:rsid w:val="004A20D9"/>
    <w:rsid w:val="004A5A2C"/>
    <w:rsid w:val="004A7C8B"/>
    <w:rsid w:val="004B2E01"/>
    <w:rsid w:val="004B4CFA"/>
    <w:rsid w:val="004B6DAB"/>
    <w:rsid w:val="004C02A3"/>
    <w:rsid w:val="004C060D"/>
    <w:rsid w:val="004C26C9"/>
    <w:rsid w:val="004C4BDF"/>
    <w:rsid w:val="004C5DBE"/>
    <w:rsid w:val="004D0E84"/>
    <w:rsid w:val="004D4664"/>
    <w:rsid w:val="004D4AD5"/>
    <w:rsid w:val="004E584E"/>
    <w:rsid w:val="004E58F4"/>
    <w:rsid w:val="004E7199"/>
    <w:rsid w:val="004E779B"/>
    <w:rsid w:val="004F773C"/>
    <w:rsid w:val="00503CFE"/>
    <w:rsid w:val="00506CFD"/>
    <w:rsid w:val="00507A5D"/>
    <w:rsid w:val="005164CA"/>
    <w:rsid w:val="005168E8"/>
    <w:rsid w:val="00520365"/>
    <w:rsid w:val="0052325E"/>
    <w:rsid w:val="005244E0"/>
    <w:rsid w:val="00524CAC"/>
    <w:rsid w:val="00536D2F"/>
    <w:rsid w:val="00543380"/>
    <w:rsid w:val="00544C81"/>
    <w:rsid w:val="00557C0A"/>
    <w:rsid w:val="005615FF"/>
    <w:rsid w:val="00561DAF"/>
    <w:rsid w:val="005634DD"/>
    <w:rsid w:val="00563D94"/>
    <w:rsid w:val="00572AA7"/>
    <w:rsid w:val="0057669C"/>
    <w:rsid w:val="00576EA3"/>
    <w:rsid w:val="00577922"/>
    <w:rsid w:val="005779EB"/>
    <w:rsid w:val="005800AD"/>
    <w:rsid w:val="005811A5"/>
    <w:rsid w:val="00581307"/>
    <w:rsid w:val="00582103"/>
    <w:rsid w:val="005837EA"/>
    <w:rsid w:val="0059746D"/>
    <w:rsid w:val="005978A1"/>
    <w:rsid w:val="00597D82"/>
    <w:rsid w:val="005A0036"/>
    <w:rsid w:val="005A6135"/>
    <w:rsid w:val="005B5302"/>
    <w:rsid w:val="005B59FD"/>
    <w:rsid w:val="005B6278"/>
    <w:rsid w:val="005C29C1"/>
    <w:rsid w:val="005C5BD3"/>
    <w:rsid w:val="005C6EB2"/>
    <w:rsid w:val="005D23ED"/>
    <w:rsid w:val="005D2630"/>
    <w:rsid w:val="005D4531"/>
    <w:rsid w:val="005E0EDF"/>
    <w:rsid w:val="005E208A"/>
    <w:rsid w:val="005F0332"/>
    <w:rsid w:val="005F0A12"/>
    <w:rsid w:val="005F209C"/>
    <w:rsid w:val="005F5D5F"/>
    <w:rsid w:val="005F66E1"/>
    <w:rsid w:val="005F78C6"/>
    <w:rsid w:val="00605BBE"/>
    <w:rsid w:val="00606A93"/>
    <w:rsid w:val="00612475"/>
    <w:rsid w:val="006224DD"/>
    <w:rsid w:val="00623BD3"/>
    <w:rsid w:val="00627250"/>
    <w:rsid w:val="0062782D"/>
    <w:rsid w:val="0063175D"/>
    <w:rsid w:val="006349B8"/>
    <w:rsid w:val="0064040B"/>
    <w:rsid w:val="006442A6"/>
    <w:rsid w:val="00645361"/>
    <w:rsid w:val="00650D72"/>
    <w:rsid w:val="00653AC7"/>
    <w:rsid w:val="00665D25"/>
    <w:rsid w:val="00671921"/>
    <w:rsid w:val="00672669"/>
    <w:rsid w:val="006803C4"/>
    <w:rsid w:val="0068376A"/>
    <w:rsid w:val="0068459F"/>
    <w:rsid w:val="006849E7"/>
    <w:rsid w:val="00686789"/>
    <w:rsid w:val="00686990"/>
    <w:rsid w:val="00687129"/>
    <w:rsid w:val="00687BEC"/>
    <w:rsid w:val="006A406F"/>
    <w:rsid w:val="006A4693"/>
    <w:rsid w:val="006B1C5E"/>
    <w:rsid w:val="006B5EC6"/>
    <w:rsid w:val="006C0D7B"/>
    <w:rsid w:val="006C0DDC"/>
    <w:rsid w:val="006C5F03"/>
    <w:rsid w:val="006C6A41"/>
    <w:rsid w:val="006C71B7"/>
    <w:rsid w:val="006C7884"/>
    <w:rsid w:val="006D0825"/>
    <w:rsid w:val="006D3335"/>
    <w:rsid w:val="006D3924"/>
    <w:rsid w:val="006D4E28"/>
    <w:rsid w:val="006D557F"/>
    <w:rsid w:val="006D7420"/>
    <w:rsid w:val="006E557B"/>
    <w:rsid w:val="006F10A7"/>
    <w:rsid w:val="006F3314"/>
    <w:rsid w:val="00706F4A"/>
    <w:rsid w:val="007114C6"/>
    <w:rsid w:val="00723A21"/>
    <w:rsid w:val="00725D3C"/>
    <w:rsid w:val="00736C61"/>
    <w:rsid w:val="00736E8E"/>
    <w:rsid w:val="00737A5A"/>
    <w:rsid w:val="00737EAE"/>
    <w:rsid w:val="0074074C"/>
    <w:rsid w:val="00741F1F"/>
    <w:rsid w:val="00741FE1"/>
    <w:rsid w:val="007433BA"/>
    <w:rsid w:val="00745FE3"/>
    <w:rsid w:val="00750FCE"/>
    <w:rsid w:val="00767CE7"/>
    <w:rsid w:val="00771350"/>
    <w:rsid w:val="007749FF"/>
    <w:rsid w:val="0078008A"/>
    <w:rsid w:val="00781EC6"/>
    <w:rsid w:val="007829A6"/>
    <w:rsid w:val="00783F5F"/>
    <w:rsid w:val="007A01C4"/>
    <w:rsid w:val="007A42EE"/>
    <w:rsid w:val="007A5E53"/>
    <w:rsid w:val="007B1C05"/>
    <w:rsid w:val="007B3A1A"/>
    <w:rsid w:val="007B5638"/>
    <w:rsid w:val="007B61BE"/>
    <w:rsid w:val="007B7C28"/>
    <w:rsid w:val="007C2961"/>
    <w:rsid w:val="007D1895"/>
    <w:rsid w:val="007D37F2"/>
    <w:rsid w:val="007D4CED"/>
    <w:rsid w:val="007D4EB1"/>
    <w:rsid w:val="007D64DA"/>
    <w:rsid w:val="007E1BC0"/>
    <w:rsid w:val="007E50DA"/>
    <w:rsid w:val="007F070E"/>
    <w:rsid w:val="007F0FB5"/>
    <w:rsid w:val="007F109F"/>
    <w:rsid w:val="007F2AF0"/>
    <w:rsid w:val="007F5F49"/>
    <w:rsid w:val="00802233"/>
    <w:rsid w:val="00804C8F"/>
    <w:rsid w:val="00805866"/>
    <w:rsid w:val="0080783E"/>
    <w:rsid w:val="008135BA"/>
    <w:rsid w:val="00814E84"/>
    <w:rsid w:val="00820F05"/>
    <w:rsid w:val="008211ED"/>
    <w:rsid w:val="0082355B"/>
    <w:rsid w:val="00826963"/>
    <w:rsid w:val="00830896"/>
    <w:rsid w:val="00831DCF"/>
    <w:rsid w:val="0083691D"/>
    <w:rsid w:val="00847F93"/>
    <w:rsid w:val="00851541"/>
    <w:rsid w:val="008567CB"/>
    <w:rsid w:val="008617E5"/>
    <w:rsid w:val="00866EBF"/>
    <w:rsid w:val="00870FC3"/>
    <w:rsid w:val="0087394D"/>
    <w:rsid w:val="008826EE"/>
    <w:rsid w:val="00886FB1"/>
    <w:rsid w:val="00893D55"/>
    <w:rsid w:val="00897E9B"/>
    <w:rsid w:val="008A1E3E"/>
    <w:rsid w:val="008A58DF"/>
    <w:rsid w:val="008B1E08"/>
    <w:rsid w:val="008B2314"/>
    <w:rsid w:val="008B36A5"/>
    <w:rsid w:val="008B39B9"/>
    <w:rsid w:val="008B4BAC"/>
    <w:rsid w:val="008B619D"/>
    <w:rsid w:val="008B6AA4"/>
    <w:rsid w:val="008B7A30"/>
    <w:rsid w:val="008B7BC0"/>
    <w:rsid w:val="008C17EA"/>
    <w:rsid w:val="008C723C"/>
    <w:rsid w:val="008D1DEC"/>
    <w:rsid w:val="008D6239"/>
    <w:rsid w:val="008E12BE"/>
    <w:rsid w:val="008F3B04"/>
    <w:rsid w:val="008F52D3"/>
    <w:rsid w:val="008F616E"/>
    <w:rsid w:val="0090175B"/>
    <w:rsid w:val="009053E3"/>
    <w:rsid w:val="009061FE"/>
    <w:rsid w:val="00906D2B"/>
    <w:rsid w:val="00907CC3"/>
    <w:rsid w:val="00912A1A"/>
    <w:rsid w:val="00913C68"/>
    <w:rsid w:val="00914B9B"/>
    <w:rsid w:val="0091624D"/>
    <w:rsid w:val="0093293F"/>
    <w:rsid w:val="00933CDF"/>
    <w:rsid w:val="00936860"/>
    <w:rsid w:val="009369B4"/>
    <w:rsid w:val="00937C4C"/>
    <w:rsid w:val="0094473F"/>
    <w:rsid w:val="00946AA5"/>
    <w:rsid w:val="00952269"/>
    <w:rsid w:val="00956FE7"/>
    <w:rsid w:val="0096268E"/>
    <w:rsid w:val="009639C3"/>
    <w:rsid w:val="009646E7"/>
    <w:rsid w:val="00970E4F"/>
    <w:rsid w:val="009710A4"/>
    <w:rsid w:val="00971E51"/>
    <w:rsid w:val="0097368E"/>
    <w:rsid w:val="00973F3B"/>
    <w:rsid w:val="00974005"/>
    <w:rsid w:val="0097721D"/>
    <w:rsid w:val="00984D82"/>
    <w:rsid w:val="009940CA"/>
    <w:rsid w:val="0099600C"/>
    <w:rsid w:val="009A1436"/>
    <w:rsid w:val="009A56E9"/>
    <w:rsid w:val="009B3CED"/>
    <w:rsid w:val="009B71FD"/>
    <w:rsid w:val="009C27B0"/>
    <w:rsid w:val="009C5B08"/>
    <w:rsid w:val="009C616B"/>
    <w:rsid w:val="009D464E"/>
    <w:rsid w:val="009D53A6"/>
    <w:rsid w:val="009E7376"/>
    <w:rsid w:val="009F038C"/>
    <w:rsid w:val="009F5E0C"/>
    <w:rsid w:val="009F62BB"/>
    <w:rsid w:val="00A03DF5"/>
    <w:rsid w:val="00A10459"/>
    <w:rsid w:val="00A10C76"/>
    <w:rsid w:val="00A133A3"/>
    <w:rsid w:val="00A14977"/>
    <w:rsid w:val="00A14DC5"/>
    <w:rsid w:val="00A204AD"/>
    <w:rsid w:val="00A27391"/>
    <w:rsid w:val="00A274E1"/>
    <w:rsid w:val="00A30F15"/>
    <w:rsid w:val="00A3243C"/>
    <w:rsid w:val="00A33333"/>
    <w:rsid w:val="00A3461E"/>
    <w:rsid w:val="00A350E7"/>
    <w:rsid w:val="00A36811"/>
    <w:rsid w:val="00A40457"/>
    <w:rsid w:val="00A44666"/>
    <w:rsid w:val="00A50877"/>
    <w:rsid w:val="00A52A8D"/>
    <w:rsid w:val="00A5373A"/>
    <w:rsid w:val="00A5574A"/>
    <w:rsid w:val="00A56CF3"/>
    <w:rsid w:val="00A61CF3"/>
    <w:rsid w:val="00A63DC0"/>
    <w:rsid w:val="00A650B4"/>
    <w:rsid w:val="00A7040B"/>
    <w:rsid w:val="00A71A8F"/>
    <w:rsid w:val="00A71F73"/>
    <w:rsid w:val="00A778A8"/>
    <w:rsid w:val="00A779DA"/>
    <w:rsid w:val="00A8182A"/>
    <w:rsid w:val="00A86CE6"/>
    <w:rsid w:val="00AA66BF"/>
    <w:rsid w:val="00AA7D35"/>
    <w:rsid w:val="00AB2CE6"/>
    <w:rsid w:val="00AB4268"/>
    <w:rsid w:val="00AB5533"/>
    <w:rsid w:val="00AC1D5D"/>
    <w:rsid w:val="00AC30A0"/>
    <w:rsid w:val="00AC78D8"/>
    <w:rsid w:val="00AD51FB"/>
    <w:rsid w:val="00AE09AE"/>
    <w:rsid w:val="00AE7F98"/>
    <w:rsid w:val="00AF0A44"/>
    <w:rsid w:val="00AF3DA5"/>
    <w:rsid w:val="00AF5BF9"/>
    <w:rsid w:val="00AF6C18"/>
    <w:rsid w:val="00B022BE"/>
    <w:rsid w:val="00B04269"/>
    <w:rsid w:val="00B054F6"/>
    <w:rsid w:val="00B14102"/>
    <w:rsid w:val="00B164F2"/>
    <w:rsid w:val="00B242FA"/>
    <w:rsid w:val="00B26ECB"/>
    <w:rsid w:val="00B2784C"/>
    <w:rsid w:val="00B306AE"/>
    <w:rsid w:val="00B367F1"/>
    <w:rsid w:val="00B40C29"/>
    <w:rsid w:val="00B42AD5"/>
    <w:rsid w:val="00B43A8F"/>
    <w:rsid w:val="00B508E8"/>
    <w:rsid w:val="00B53805"/>
    <w:rsid w:val="00B55C97"/>
    <w:rsid w:val="00B61133"/>
    <w:rsid w:val="00B61942"/>
    <w:rsid w:val="00B63822"/>
    <w:rsid w:val="00B6585D"/>
    <w:rsid w:val="00B6694A"/>
    <w:rsid w:val="00B74E07"/>
    <w:rsid w:val="00B82F19"/>
    <w:rsid w:val="00B93140"/>
    <w:rsid w:val="00B93A1F"/>
    <w:rsid w:val="00BA161C"/>
    <w:rsid w:val="00BA4794"/>
    <w:rsid w:val="00BA5C17"/>
    <w:rsid w:val="00BB2D9A"/>
    <w:rsid w:val="00BB4CA9"/>
    <w:rsid w:val="00BC1FED"/>
    <w:rsid w:val="00BC2648"/>
    <w:rsid w:val="00BC51EF"/>
    <w:rsid w:val="00BC60E4"/>
    <w:rsid w:val="00BC66C7"/>
    <w:rsid w:val="00BD04F6"/>
    <w:rsid w:val="00BD2D1F"/>
    <w:rsid w:val="00BD7869"/>
    <w:rsid w:val="00BE31FC"/>
    <w:rsid w:val="00BF08EF"/>
    <w:rsid w:val="00BF10C2"/>
    <w:rsid w:val="00BF3A5B"/>
    <w:rsid w:val="00BF4F96"/>
    <w:rsid w:val="00C05C0B"/>
    <w:rsid w:val="00C3282F"/>
    <w:rsid w:val="00C35D93"/>
    <w:rsid w:val="00C36A99"/>
    <w:rsid w:val="00C3788F"/>
    <w:rsid w:val="00C4147B"/>
    <w:rsid w:val="00C4679C"/>
    <w:rsid w:val="00C53751"/>
    <w:rsid w:val="00C61F07"/>
    <w:rsid w:val="00C66A34"/>
    <w:rsid w:val="00C7043C"/>
    <w:rsid w:val="00C71DFC"/>
    <w:rsid w:val="00C8093F"/>
    <w:rsid w:val="00C92558"/>
    <w:rsid w:val="00CB1B75"/>
    <w:rsid w:val="00CB719D"/>
    <w:rsid w:val="00CC603F"/>
    <w:rsid w:val="00CD698D"/>
    <w:rsid w:val="00CE3290"/>
    <w:rsid w:val="00CE598E"/>
    <w:rsid w:val="00CF255D"/>
    <w:rsid w:val="00CF5C27"/>
    <w:rsid w:val="00D0015F"/>
    <w:rsid w:val="00D04014"/>
    <w:rsid w:val="00D056A6"/>
    <w:rsid w:val="00D103F7"/>
    <w:rsid w:val="00D16235"/>
    <w:rsid w:val="00D26473"/>
    <w:rsid w:val="00D26FA8"/>
    <w:rsid w:val="00D27266"/>
    <w:rsid w:val="00D32F76"/>
    <w:rsid w:val="00D36689"/>
    <w:rsid w:val="00D45CB7"/>
    <w:rsid w:val="00D4635B"/>
    <w:rsid w:val="00D47F4D"/>
    <w:rsid w:val="00D501D6"/>
    <w:rsid w:val="00D502B0"/>
    <w:rsid w:val="00D51789"/>
    <w:rsid w:val="00D55861"/>
    <w:rsid w:val="00D56EE9"/>
    <w:rsid w:val="00D62023"/>
    <w:rsid w:val="00D62B6D"/>
    <w:rsid w:val="00D65782"/>
    <w:rsid w:val="00D66EF1"/>
    <w:rsid w:val="00D738F6"/>
    <w:rsid w:val="00D92929"/>
    <w:rsid w:val="00D93E09"/>
    <w:rsid w:val="00D95614"/>
    <w:rsid w:val="00DA5493"/>
    <w:rsid w:val="00DA5C2A"/>
    <w:rsid w:val="00DA6E5C"/>
    <w:rsid w:val="00DB7E27"/>
    <w:rsid w:val="00DC3BAD"/>
    <w:rsid w:val="00DC3F5E"/>
    <w:rsid w:val="00DC499E"/>
    <w:rsid w:val="00DC6E60"/>
    <w:rsid w:val="00DD2AA9"/>
    <w:rsid w:val="00DD6943"/>
    <w:rsid w:val="00DD6CF5"/>
    <w:rsid w:val="00DD7305"/>
    <w:rsid w:val="00DE03EF"/>
    <w:rsid w:val="00DE2FC0"/>
    <w:rsid w:val="00DF02D4"/>
    <w:rsid w:val="00DF0733"/>
    <w:rsid w:val="00DF3E3C"/>
    <w:rsid w:val="00DF6671"/>
    <w:rsid w:val="00DF6AB7"/>
    <w:rsid w:val="00E063F9"/>
    <w:rsid w:val="00E07542"/>
    <w:rsid w:val="00E17755"/>
    <w:rsid w:val="00E21A5C"/>
    <w:rsid w:val="00E22D40"/>
    <w:rsid w:val="00E24331"/>
    <w:rsid w:val="00E24A8E"/>
    <w:rsid w:val="00E25335"/>
    <w:rsid w:val="00E33EEF"/>
    <w:rsid w:val="00E34DCF"/>
    <w:rsid w:val="00E4435A"/>
    <w:rsid w:val="00E44FA1"/>
    <w:rsid w:val="00E528EF"/>
    <w:rsid w:val="00E55826"/>
    <w:rsid w:val="00E6275E"/>
    <w:rsid w:val="00E63F25"/>
    <w:rsid w:val="00E64703"/>
    <w:rsid w:val="00E75A08"/>
    <w:rsid w:val="00E81588"/>
    <w:rsid w:val="00E81BAD"/>
    <w:rsid w:val="00E83E96"/>
    <w:rsid w:val="00E85AA3"/>
    <w:rsid w:val="00E912E4"/>
    <w:rsid w:val="00E91F56"/>
    <w:rsid w:val="00E95DE4"/>
    <w:rsid w:val="00E96669"/>
    <w:rsid w:val="00EC7DD9"/>
    <w:rsid w:val="00ED04A4"/>
    <w:rsid w:val="00ED22DB"/>
    <w:rsid w:val="00ED70A6"/>
    <w:rsid w:val="00EE42BD"/>
    <w:rsid w:val="00EE5C33"/>
    <w:rsid w:val="00EF1B5B"/>
    <w:rsid w:val="00EF2CEF"/>
    <w:rsid w:val="00EF4598"/>
    <w:rsid w:val="00EF5115"/>
    <w:rsid w:val="00EF68C4"/>
    <w:rsid w:val="00F02054"/>
    <w:rsid w:val="00F02DF5"/>
    <w:rsid w:val="00F066AB"/>
    <w:rsid w:val="00F15FEF"/>
    <w:rsid w:val="00F23D81"/>
    <w:rsid w:val="00F24386"/>
    <w:rsid w:val="00F25849"/>
    <w:rsid w:val="00F26BB7"/>
    <w:rsid w:val="00F40654"/>
    <w:rsid w:val="00F40E30"/>
    <w:rsid w:val="00F44146"/>
    <w:rsid w:val="00F53F56"/>
    <w:rsid w:val="00F55394"/>
    <w:rsid w:val="00F56507"/>
    <w:rsid w:val="00F5797E"/>
    <w:rsid w:val="00F66A35"/>
    <w:rsid w:val="00F72B95"/>
    <w:rsid w:val="00F81ECB"/>
    <w:rsid w:val="00F82419"/>
    <w:rsid w:val="00F851F6"/>
    <w:rsid w:val="00F91CDD"/>
    <w:rsid w:val="00F920E4"/>
    <w:rsid w:val="00F97D15"/>
    <w:rsid w:val="00FA2B2E"/>
    <w:rsid w:val="00FA3550"/>
    <w:rsid w:val="00FA3786"/>
    <w:rsid w:val="00FD4F9D"/>
    <w:rsid w:val="00FE0E34"/>
    <w:rsid w:val="00FE3411"/>
    <w:rsid w:val="00FE50AE"/>
    <w:rsid w:val="00FE6D6C"/>
    <w:rsid w:val="00FF040B"/>
    <w:rsid w:val="00FF1DEF"/>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5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customStyle="1" w:styleId="apple-converted-space">
    <w:name w:val="apple-converted-space"/>
    <w:basedOn w:val="DefaultParagraphFont"/>
    <w:rsid w:val="00D2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paragraph" w:styleId="NoSpacing">
    <w:name w:val="No Spacing"/>
    <w:uiPriority w:val="1"/>
    <w:qFormat/>
    <w:rsid w:val="003D0435"/>
    <w:pPr>
      <w:widowControl w:val="0"/>
    </w:pPr>
    <w:rPr>
      <w:rFonts w:ascii="Times New Roman" w:eastAsia="Times New Roman" w:hAnsi="Times New Roman"/>
      <w:snapToGrid w:val="0"/>
      <w:sz w:val="24"/>
    </w:rPr>
  </w:style>
  <w:style w:type="character" w:customStyle="1" w:styleId="apple-converted-space">
    <w:name w:val="apple-converted-space"/>
    <w:basedOn w:val="DefaultParagraphFont"/>
    <w:rsid w:val="00D2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8216547">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660738718">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568459365">
      <w:bodyDiv w:val="1"/>
      <w:marLeft w:val="0"/>
      <w:marRight w:val="0"/>
      <w:marTop w:val="0"/>
      <w:marBottom w:val="0"/>
      <w:divBdr>
        <w:top w:val="none" w:sz="0" w:space="0" w:color="auto"/>
        <w:left w:val="none" w:sz="0" w:space="0" w:color="auto"/>
        <w:bottom w:val="none" w:sz="0" w:space="0" w:color="auto"/>
        <w:right w:val="none" w:sz="0" w:space="0" w:color="auto"/>
      </w:divBdr>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730418669">
      <w:bodyDiv w:val="1"/>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1708411245">
          <w:marLeft w:val="0"/>
          <w:marRight w:val="0"/>
          <w:marTop w:val="0"/>
          <w:marBottom w:val="0"/>
          <w:divBdr>
            <w:top w:val="none" w:sz="0" w:space="0" w:color="auto"/>
            <w:left w:val="none" w:sz="0" w:space="0" w:color="auto"/>
            <w:bottom w:val="none" w:sz="0" w:space="0" w:color="auto"/>
            <w:right w:val="none" w:sz="0" w:space="0" w:color="auto"/>
          </w:divBdr>
          <w:divsChild>
            <w:div w:id="8063940">
              <w:marLeft w:val="0"/>
              <w:marRight w:val="0"/>
              <w:marTop w:val="0"/>
              <w:marBottom w:val="0"/>
              <w:divBdr>
                <w:top w:val="none" w:sz="0" w:space="0" w:color="auto"/>
                <w:left w:val="none" w:sz="0" w:space="0" w:color="auto"/>
                <w:bottom w:val="none" w:sz="0" w:space="0" w:color="auto"/>
                <w:right w:val="none" w:sz="0" w:space="0" w:color="auto"/>
              </w:divBdr>
              <w:divsChild>
                <w:div w:id="393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197011502">
          <w:marLeft w:val="0"/>
          <w:marRight w:val="0"/>
          <w:marTop w:val="0"/>
          <w:marBottom w:val="0"/>
          <w:divBdr>
            <w:top w:val="none" w:sz="0" w:space="0" w:color="auto"/>
            <w:left w:val="none" w:sz="0" w:space="0" w:color="auto"/>
            <w:bottom w:val="none" w:sz="0" w:space="0" w:color="auto"/>
            <w:right w:val="none" w:sz="0" w:space="0" w:color="auto"/>
          </w:divBdr>
        </w:div>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094007790">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wl.english.purdue.edu/owl/resource/577/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marist.com/style/ages-hyphe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agomanualofstyle.org/16/images/ch07_tab0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xisnexis.com/clients/macourts/" TargetMode="External"/><Relationship Id="rId4" Type="http://schemas.microsoft.com/office/2007/relationships/stylesWithEffects" Target="stylesWithEffects.xml"/><Relationship Id="rId9" Type="http://schemas.openxmlformats.org/officeDocument/2006/relationships/hyperlink" Target="https://www.publiccounsel.net/cafl/professional/relevant-statutes-and-case-law/summaries-of-recent-decisions/" TargetMode="External"/><Relationship Id="rId14" Type="http://schemas.openxmlformats.org/officeDocument/2006/relationships/hyperlink" Target="http://www.lawprose.org/lawprose-lesson-160-correct-punctuation-with-quotation-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67B5-C22E-45F5-A266-ADE2ED47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4098</Words>
  <Characters>23363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27407</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2016-09-16T12:19:00Z</cp:lastPrinted>
  <dcterms:created xsi:type="dcterms:W3CDTF">2016-10-19T15:58:00Z</dcterms:created>
  <dcterms:modified xsi:type="dcterms:W3CDTF">2016-10-19T15:58:00Z</dcterms:modified>
</cp:coreProperties>
</file>