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199" w:rsidRDefault="00913199" w:rsidP="00913199">
      <w:pPr>
        <w:spacing w:line="240" w:lineRule="auto"/>
        <w:contextualSpacing/>
      </w:pPr>
      <w:r w:rsidRPr="00913199">
        <w:rPr>
          <w:u w:val="single"/>
        </w:rPr>
        <w:t>Care and Protection of Vieri</w:t>
      </w:r>
      <w:r>
        <w:t xml:space="preserve">, </w:t>
      </w:r>
      <w:r w:rsidR="0088696B">
        <w:t>92 Mass. App. Ct. 402 (2017)</w:t>
      </w:r>
    </w:p>
    <w:p w:rsidR="006262A5" w:rsidRDefault="00913199" w:rsidP="00913199">
      <w:pPr>
        <w:spacing w:line="240" w:lineRule="auto"/>
        <w:contextualSpacing/>
      </w:pPr>
      <w:r>
        <w:t>Summary by Katy Krywonis, CAFL Training Unit</w:t>
      </w:r>
      <w:r w:rsidR="0023749B">
        <w:t xml:space="preserve"> </w:t>
      </w:r>
      <w:bookmarkStart w:id="0" w:name="_GoBack"/>
      <w:bookmarkEnd w:id="0"/>
    </w:p>
    <w:p w:rsidR="005E16FE" w:rsidRDefault="005E16FE" w:rsidP="00913199">
      <w:pPr>
        <w:spacing w:line="240" w:lineRule="auto"/>
        <w:contextualSpacing/>
      </w:pPr>
    </w:p>
    <w:p w:rsidR="0004067F" w:rsidRDefault="005E16FE" w:rsidP="0004067F">
      <w:pPr>
        <w:spacing w:line="240" w:lineRule="auto"/>
        <w:contextualSpacing/>
        <w:rPr>
          <w:rFonts w:eastAsia="Arial Unicode MS"/>
        </w:rPr>
      </w:pPr>
      <w:r>
        <w:rPr>
          <w:rFonts w:eastAsia="Times New Roman"/>
        </w:rPr>
        <w:t>The trial judge adjudicated</w:t>
      </w:r>
      <w:r w:rsidR="006262A5">
        <w:rPr>
          <w:rFonts w:eastAsia="Times New Roman"/>
        </w:rPr>
        <w:t xml:space="preserve"> Vieri</w:t>
      </w:r>
      <w:r w:rsidRPr="00A15092">
        <w:rPr>
          <w:rFonts w:eastAsia="Times New Roman"/>
        </w:rPr>
        <w:t xml:space="preserve"> in need of care and protect</w:t>
      </w:r>
      <w:r w:rsidR="00540255">
        <w:rPr>
          <w:rFonts w:eastAsia="Times New Roman"/>
        </w:rPr>
        <w:t xml:space="preserve">ion and found his mother unfit because her </w:t>
      </w:r>
      <w:r w:rsidR="009921F3">
        <w:rPr>
          <w:rFonts w:eastAsia="Times New Roman"/>
        </w:rPr>
        <w:t xml:space="preserve">home was unsafe and unsanitary, she was unable to meet Vieri’s escalating needs, and she </w:t>
      </w:r>
      <w:r>
        <w:rPr>
          <w:rFonts w:eastAsia="Times New Roman"/>
        </w:rPr>
        <w:t>re</w:t>
      </w:r>
      <w:r w:rsidR="0004067F">
        <w:rPr>
          <w:rFonts w:eastAsia="Times New Roman"/>
        </w:rPr>
        <w:t>fused to cooperate with DCF</w:t>
      </w:r>
      <w:r w:rsidRPr="00705E51">
        <w:rPr>
          <w:rFonts w:eastAsia="Times New Roman"/>
        </w:rPr>
        <w:t>.</w:t>
      </w:r>
      <w:r w:rsidR="00F148E8">
        <w:rPr>
          <w:rFonts w:eastAsia="Times New Roman"/>
        </w:rPr>
        <w:t xml:space="preserve">  </w:t>
      </w:r>
      <w:r w:rsidR="00D4450B" w:rsidRPr="00540255">
        <w:rPr>
          <w:rFonts w:eastAsia="Times New Roman"/>
          <w:shd w:val="clear" w:color="auto" w:fill="FFFFFF"/>
        </w:rPr>
        <w:t xml:space="preserve">At trial, the evidence showed that the home had been in “deplorable” condition for an extended period.  The mother testified that the home was now clean, but she refused to </w:t>
      </w:r>
      <w:r w:rsidR="00D4450B">
        <w:rPr>
          <w:rFonts w:eastAsia="Times New Roman"/>
          <w:shd w:val="clear" w:color="auto" w:fill="FFFFFF"/>
        </w:rPr>
        <w:t>let the social worker inside</w:t>
      </w:r>
      <w:r w:rsidR="00D4450B" w:rsidRPr="00540255">
        <w:rPr>
          <w:rFonts w:eastAsia="Times New Roman"/>
          <w:shd w:val="clear" w:color="auto" w:fill="FFFFFF"/>
        </w:rPr>
        <w:t xml:space="preserve"> because she did not “have a very good relationship” with DCF. </w:t>
      </w:r>
      <w:r w:rsidR="00F148E8">
        <w:rPr>
          <w:rFonts w:eastAsia="Times New Roman"/>
        </w:rPr>
        <w:t xml:space="preserve"> </w:t>
      </w:r>
      <w:r w:rsidRPr="00A15092">
        <w:rPr>
          <w:rFonts w:eastAsia="Times New Roman"/>
        </w:rPr>
        <w:t xml:space="preserve">On appeal, </w:t>
      </w:r>
      <w:r>
        <w:rPr>
          <w:rFonts w:eastAsia="Times New Roman"/>
        </w:rPr>
        <w:t xml:space="preserve">the </w:t>
      </w:r>
      <w:r w:rsidRPr="00A15092">
        <w:rPr>
          <w:rFonts w:eastAsia="Times New Roman"/>
        </w:rPr>
        <w:t xml:space="preserve">mother argued that the evidence was insufficient to </w:t>
      </w:r>
      <w:r w:rsidR="001C103F">
        <w:rPr>
          <w:rFonts w:eastAsia="Times New Roman"/>
        </w:rPr>
        <w:t>prov</w:t>
      </w:r>
      <w:r w:rsidR="00581A52">
        <w:rPr>
          <w:rFonts w:eastAsia="Times New Roman"/>
        </w:rPr>
        <w:t>e that she was currently unfit</w:t>
      </w:r>
      <w:r w:rsidR="00EF7C7D">
        <w:rPr>
          <w:rFonts w:eastAsia="Times New Roman"/>
        </w:rPr>
        <w:t xml:space="preserve"> because there was no current evidence that her home was in “chaos</w:t>
      </w:r>
      <w:r w:rsidR="00722BAA">
        <w:rPr>
          <w:rFonts w:eastAsia="Times New Roman"/>
        </w:rPr>
        <w:t>.</w:t>
      </w:r>
      <w:r w:rsidR="00EF7C7D">
        <w:rPr>
          <w:rFonts w:eastAsia="Times New Roman"/>
        </w:rPr>
        <w:t>”</w:t>
      </w:r>
      <w:r w:rsidR="00722BAA">
        <w:rPr>
          <w:rFonts w:eastAsia="Times New Roman"/>
        </w:rPr>
        <w:t xml:space="preserve">  T</w:t>
      </w:r>
      <w:r w:rsidRPr="00A15092">
        <w:rPr>
          <w:rFonts w:eastAsia="Times New Roman"/>
        </w:rPr>
        <w:t xml:space="preserve">he Appeals Court </w:t>
      </w:r>
      <w:r w:rsidR="00EF7C7D">
        <w:rPr>
          <w:rFonts w:eastAsia="Times New Roman"/>
        </w:rPr>
        <w:t>disagreed</w:t>
      </w:r>
      <w:r>
        <w:rPr>
          <w:rFonts w:eastAsia="Arial Unicode MS"/>
        </w:rPr>
        <w:t xml:space="preserve"> and affirmed</w:t>
      </w:r>
      <w:r w:rsidR="00EF7C7D">
        <w:rPr>
          <w:rFonts w:eastAsia="Arial Unicode MS"/>
        </w:rPr>
        <w:t xml:space="preserve">, noting </w:t>
      </w:r>
      <w:r w:rsidR="00722BAA">
        <w:rPr>
          <w:rFonts w:eastAsia="Arial Unicode MS"/>
        </w:rPr>
        <w:t xml:space="preserve">that </w:t>
      </w:r>
      <w:r w:rsidR="00D31EF1">
        <w:rPr>
          <w:rFonts w:eastAsia="Arial Unicode MS"/>
        </w:rPr>
        <w:t xml:space="preserve">the </w:t>
      </w:r>
      <w:r w:rsidR="00EF7C7D">
        <w:rPr>
          <w:rFonts w:eastAsia="Arial Unicode MS"/>
        </w:rPr>
        <w:t>evidence</w:t>
      </w:r>
      <w:r w:rsidR="00D31EF1">
        <w:rPr>
          <w:rFonts w:eastAsia="Arial Unicode MS"/>
        </w:rPr>
        <w:t xml:space="preserve"> was not “fully current” </w:t>
      </w:r>
      <w:r w:rsidR="00EF7C7D">
        <w:rPr>
          <w:rFonts w:eastAsia="Arial Unicode MS"/>
        </w:rPr>
        <w:t xml:space="preserve">only </w:t>
      </w:r>
      <w:r w:rsidR="00D31EF1">
        <w:rPr>
          <w:rFonts w:eastAsia="Arial Unicode MS"/>
        </w:rPr>
        <w:t xml:space="preserve">because the mother refused to let the social worker inside. </w:t>
      </w:r>
      <w:r w:rsidR="00CA6FE3">
        <w:rPr>
          <w:rFonts w:eastAsia="Arial Unicode MS"/>
        </w:rPr>
        <w:t xml:space="preserve">The </w:t>
      </w:r>
      <w:r w:rsidR="00705E51">
        <w:rPr>
          <w:rFonts w:eastAsia="Arial Unicode MS"/>
        </w:rPr>
        <w:t>judge was permitt</w:t>
      </w:r>
      <w:r w:rsidR="00E20F42">
        <w:rPr>
          <w:rFonts w:eastAsia="Arial Unicode MS"/>
        </w:rPr>
        <w:t>ed to draw a negative inference</w:t>
      </w:r>
      <w:r w:rsidR="00CF688E">
        <w:rPr>
          <w:rFonts w:eastAsia="Arial Unicode MS"/>
        </w:rPr>
        <w:t xml:space="preserve"> – </w:t>
      </w:r>
      <w:r w:rsidR="00E20F42">
        <w:rPr>
          <w:rFonts w:eastAsia="Arial Unicode MS"/>
        </w:rPr>
        <w:t xml:space="preserve">that the home </w:t>
      </w:r>
      <w:r w:rsidR="00D31EF1">
        <w:rPr>
          <w:rFonts w:eastAsia="Arial Unicode MS"/>
        </w:rPr>
        <w:t>remained</w:t>
      </w:r>
      <w:r w:rsidR="00E20F42">
        <w:rPr>
          <w:rFonts w:eastAsia="Arial Unicode MS"/>
        </w:rPr>
        <w:t xml:space="preserve"> in poor condition</w:t>
      </w:r>
      <w:r w:rsidR="00CF688E">
        <w:rPr>
          <w:rFonts w:eastAsia="Arial Unicode MS"/>
        </w:rPr>
        <w:t xml:space="preserve"> – </w:t>
      </w:r>
      <w:r w:rsidR="00C45EFD">
        <w:rPr>
          <w:rFonts w:eastAsia="Arial Unicode MS"/>
        </w:rPr>
        <w:t xml:space="preserve">from the mother’s </w:t>
      </w:r>
      <w:r w:rsidR="00D2020F">
        <w:rPr>
          <w:rFonts w:eastAsia="Arial Unicode MS"/>
        </w:rPr>
        <w:t>refusal</w:t>
      </w:r>
      <w:r w:rsidR="00C45EFD">
        <w:rPr>
          <w:rFonts w:eastAsia="Arial Unicode MS"/>
        </w:rPr>
        <w:t xml:space="preserve"> to </w:t>
      </w:r>
      <w:r w:rsidR="00ED15A5">
        <w:rPr>
          <w:rFonts w:eastAsia="Arial Unicode MS"/>
        </w:rPr>
        <w:t xml:space="preserve">allow anyone into the home to report on its condition.  The judge could </w:t>
      </w:r>
      <w:r w:rsidR="00E20F42">
        <w:rPr>
          <w:rFonts w:eastAsia="Arial Unicode MS"/>
        </w:rPr>
        <w:t xml:space="preserve">rely on the evidence that was available, including the </w:t>
      </w:r>
      <w:r w:rsidR="00CF688E">
        <w:rPr>
          <w:rFonts w:eastAsia="Arial Unicode MS"/>
        </w:rPr>
        <w:t xml:space="preserve">probation officer’s and health department agent’s earlier </w:t>
      </w:r>
      <w:r w:rsidR="00E20F42">
        <w:rPr>
          <w:rFonts w:eastAsia="Arial Unicode MS"/>
        </w:rPr>
        <w:t xml:space="preserve">observations of the </w:t>
      </w:r>
      <w:r w:rsidR="00CA6FE3">
        <w:rPr>
          <w:rFonts w:eastAsia="Arial Unicode MS"/>
        </w:rPr>
        <w:t xml:space="preserve">home.  The judge was not required to credit the mother’s testimony that there was nothing amiss in the home.  </w:t>
      </w:r>
    </w:p>
    <w:p w:rsidR="0091278D" w:rsidRDefault="0091278D" w:rsidP="0004067F">
      <w:pPr>
        <w:spacing w:line="240" w:lineRule="auto"/>
        <w:contextualSpacing/>
        <w:rPr>
          <w:rFonts w:eastAsia="Arial Unicode MS"/>
        </w:rPr>
      </w:pPr>
    </w:p>
    <w:p w:rsidR="0091278D" w:rsidRPr="000A2042" w:rsidRDefault="0091278D" w:rsidP="0091278D">
      <w:pPr>
        <w:spacing w:after="0" w:line="240" w:lineRule="auto"/>
        <w:contextualSpacing/>
        <w:rPr>
          <w:rFonts w:eastAsia="Times New Roman"/>
        </w:rPr>
      </w:pPr>
      <w:r w:rsidRPr="000A2042">
        <w:rPr>
          <w:rFonts w:eastAsia="Times New Roman"/>
        </w:rPr>
        <w:t>The negative inference language from the Appeals Court is ambiguous.  However, the holding that the judge could draw a negative inference from the mother’s refusal to cooperate refers to the mother’s refusal to allow the social worker access to the home; it is not about the mother’s participation in other service plan tasks.</w:t>
      </w:r>
    </w:p>
    <w:p w:rsidR="00F148E8" w:rsidRPr="0004067F" w:rsidRDefault="00F148E8" w:rsidP="0004067F">
      <w:pPr>
        <w:spacing w:line="240" w:lineRule="auto"/>
        <w:contextualSpacing/>
        <w:rPr>
          <w:rFonts w:eastAsia="Arial Unicode MS"/>
        </w:rPr>
      </w:pPr>
    </w:p>
    <w:p w:rsidR="00726280" w:rsidRPr="000A2042" w:rsidRDefault="00ED15A5" w:rsidP="000A2042">
      <w:pPr>
        <w:spacing w:after="0" w:line="240" w:lineRule="auto"/>
        <w:rPr>
          <w:rFonts w:eastAsia="Times New Roman"/>
          <w:shd w:val="clear" w:color="auto" w:fill="FFFFFF"/>
        </w:rPr>
      </w:pPr>
      <w:r w:rsidRPr="00540255">
        <w:rPr>
          <w:rFonts w:eastAsia="Times New Roman"/>
          <w:i/>
          <w:iCs/>
          <w:shd w:val="clear" w:color="auto" w:fill="FFFFFF"/>
        </w:rPr>
        <w:t>Practice Tip:</w:t>
      </w:r>
      <w:r w:rsidRPr="00540255">
        <w:rPr>
          <w:rFonts w:eastAsia="Times New Roman"/>
          <w:shd w:val="clear" w:color="auto" w:fill="FFFFFF"/>
        </w:rPr>
        <w:t xml:space="preserve"> If DCF has ample evidence of your parent client’s </w:t>
      </w:r>
      <w:r w:rsidR="0034033C">
        <w:rPr>
          <w:rFonts w:eastAsia="Times New Roman"/>
          <w:shd w:val="clear" w:color="auto" w:fill="FFFFFF"/>
        </w:rPr>
        <w:t xml:space="preserve">dangerously </w:t>
      </w:r>
      <w:r w:rsidRPr="00540255">
        <w:rPr>
          <w:rFonts w:eastAsia="Times New Roman"/>
          <w:shd w:val="clear" w:color="auto" w:fill="FFFFFF"/>
        </w:rPr>
        <w:t xml:space="preserve">dirty or chaotic home, your client cannot avoid a finding of current unfitness by preventing others from observing the home.  The judge will be able to draw a negative inference that the home remains in </w:t>
      </w:r>
      <w:r w:rsidR="0034033C">
        <w:rPr>
          <w:rFonts w:eastAsia="Times New Roman"/>
          <w:shd w:val="clear" w:color="auto" w:fill="FFFFFF"/>
        </w:rPr>
        <w:t xml:space="preserve">dangerously </w:t>
      </w:r>
      <w:r w:rsidRPr="00540255">
        <w:rPr>
          <w:rFonts w:eastAsia="Times New Roman"/>
          <w:shd w:val="clear" w:color="auto" w:fill="FFFFFF"/>
        </w:rPr>
        <w:t>dirty or chaotic condition.  To avoid that negative inference, you must urge your client to clean the home and give the DCF caseworker and</w:t>
      </w:r>
      <w:r w:rsidR="00AC5DF6">
        <w:rPr>
          <w:rFonts w:eastAsia="Times New Roman"/>
          <w:shd w:val="clear" w:color="auto" w:fill="FFFFFF"/>
        </w:rPr>
        <w:t>/or</w:t>
      </w:r>
      <w:r w:rsidRPr="00540255">
        <w:rPr>
          <w:rFonts w:eastAsia="Times New Roman"/>
          <w:shd w:val="clear" w:color="auto" w:fill="FFFFFF"/>
        </w:rPr>
        <w:t xml:space="preserve"> other collaterals access.  If your client refuses to allow them access, she must have an extremely credible reason for doing so.  But whatever her reasons, she still must be able to rebut DCF’s evidence of past filth by presenting evidence (beyond her own testimony) that </w:t>
      </w:r>
      <w:r w:rsidR="000A2042">
        <w:rPr>
          <w:rFonts w:eastAsia="Times New Roman"/>
          <w:shd w:val="clear" w:color="auto" w:fill="FFFFFF"/>
        </w:rPr>
        <w:t>the home is currently clean.   </w:t>
      </w:r>
    </w:p>
    <w:p w:rsidR="00540255" w:rsidRPr="00540255" w:rsidRDefault="00540255" w:rsidP="000A2042">
      <w:pPr>
        <w:spacing w:after="0" w:line="240" w:lineRule="auto"/>
        <w:rPr>
          <w:rFonts w:eastAsia="Times New Roman"/>
          <w:shd w:val="clear" w:color="auto" w:fill="FFFFFF"/>
        </w:rPr>
      </w:pPr>
      <w:r w:rsidRPr="00540255">
        <w:rPr>
          <w:rFonts w:eastAsia="Times New Roman"/>
          <w:shd w:val="clear" w:color="auto" w:fill="FFFFFF"/>
        </w:rPr>
        <w:t> </w:t>
      </w:r>
    </w:p>
    <w:p w:rsidR="00CF6750" w:rsidRPr="00CF6750" w:rsidRDefault="00CF6750" w:rsidP="000A2042">
      <w:pPr>
        <w:spacing w:after="0" w:line="240" w:lineRule="auto"/>
        <w:contextualSpacing/>
        <w:rPr>
          <w:rFonts w:eastAsia="Times New Roman"/>
        </w:rPr>
      </w:pPr>
      <w:r w:rsidRPr="00CF6750">
        <w:rPr>
          <w:rFonts w:ascii="Calibri" w:eastAsia="Times New Roman" w:hAnsi="Calibri"/>
          <w:sz w:val="22"/>
          <w:szCs w:val="22"/>
        </w:rPr>
        <w:t> </w:t>
      </w:r>
    </w:p>
    <w:p w:rsidR="0088696B" w:rsidRPr="00AE431C" w:rsidRDefault="0088696B" w:rsidP="000A2042">
      <w:pPr>
        <w:spacing w:line="240" w:lineRule="auto"/>
        <w:contextualSpacing/>
      </w:pPr>
    </w:p>
    <w:sectPr w:rsidR="0088696B" w:rsidRPr="00AE4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99"/>
    <w:rsid w:val="0004067F"/>
    <w:rsid w:val="00070F06"/>
    <w:rsid w:val="00077024"/>
    <w:rsid w:val="000A2042"/>
    <w:rsid w:val="0017759D"/>
    <w:rsid w:val="0018749F"/>
    <w:rsid w:val="0019403B"/>
    <w:rsid w:val="00195CB7"/>
    <w:rsid w:val="001C103F"/>
    <w:rsid w:val="001C4DEB"/>
    <w:rsid w:val="0023749B"/>
    <w:rsid w:val="002C35D9"/>
    <w:rsid w:val="00323274"/>
    <w:rsid w:val="0034033C"/>
    <w:rsid w:val="003C28D7"/>
    <w:rsid w:val="00460048"/>
    <w:rsid w:val="00494DA3"/>
    <w:rsid w:val="00540255"/>
    <w:rsid w:val="00581A52"/>
    <w:rsid w:val="005E16FE"/>
    <w:rsid w:val="005F1434"/>
    <w:rsid w:val="006262A5"/>
    <w:rsid w:val="00667575"/>
    <w:rsid w:val="00705E51"/>
    <w:rsid w:val="00722BAA"/>
    <w:rsid w:val="00726280"/>
    <w:rsid w:val="00786153"/>
    <w:rsid w:val="00821602"/>
    <w:rsid w:val="008858E1"/>
    <w:rsid w:val="0088696B"/>
    <w:rsid w:val="008E00CF"/>
    <w:rsid w:val="0090776F"/>
    <w:rsid w:val="0091278D"/>
    <w:rsid w:val="00913199"/>
    <w:rsid w:val="0098727B"/>
    <w:rsid w:val="009921F3"/>
    <w:rsid w:val="00AC5DF6"/>
    <w:rsid w:val="00AD6A87"/>
    <w:rsid w:val="00AE431C"/>
    <w:rsid w:val="00AE43F7"/>
    <w:rsid w:val="00B57854"/>
    <w:rsid w:val="00BA1E03"/>
    <w:rsid w:val="00C17CEC"/>
    <w:rsid w:val="00C45EFD"/>
    <w:rsid w:val="00C937BC"/>
    <w:rsid w:val="00CA580A"/>
    <w:rsid w:val="00CA6FE3"/>
    <w:rsid w:val="00CF6750"/>
    <w:rsid w:val="00CF688E"/>
    <w:rsid w:val="00D028B4"/>
    <w:rsid w:val="00D2020F"/>
    <w:rsid w:val="00D31EF1"/>
    <w:rsid w:val="00D4450B"/>
    <w:rsid w:val="00D60CC1"/>
    <w:rsid w:val="00E20F42"/>
    <w:rsid w:val="00EB224F"/>
    <w:rsid w:val="00ED15A5"/>
    <w:rsid w:val="00EF7C7D"/>
    <w:rsid w:val="00F148E8"/>
    <w:rsid w:val="00F3276B"/>
    <w:rsid w:val="00F660EA"/>
    <w:rsid w:val="00FB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5203">
      <w:bodyDiv w:val="1"/>
      <w:marLeft w:val="0"/>
      <w:marRight w:val="0"/>
      <w:marTop w:val="0"/>
      <w:marBottom w:val="0"/>
      <w:divBdr>
        <w:top w:val="none" w:sz="0" w:space="0" w:color="auto"/>
        <w:left w:val="none" w:sz="0" w:space="0" w:color="auto"/>
        <w:bottom w:val="none" w:sz="0" w:space="0" w:color="auto"/>
        <w:right w:val="none" w:sz="0" w:space="0" w:color="auto"/>
      </w:divBdr>
      <w:divsChild>
        <w:div w:id="1014770272">
          <w:marLeft w:val="0"/>
          <w:marRight w:val="0"/>
          <w:marTop w:val="0"/>
          <w:marBottom w:val="0"/>
          <w:divBdr>
            <w:top w:val="none" w:sz="0" w:space="0" w:color="auto"/>
            <w:left w:val="none" w:sz="0" w:space="0" w:color="auto"/>
            <w:bottom w:val="none" w:sz="0" w:space="0" w:color="auto"/>
            <w:right w:val="none" w:sz="0" w:space="0" w:color="auto"/>
          </w:divBdr>
        </w:div>
        <w:div w:id="741752159">
          <w:marLeft w:val="0"/>
          <w:marRight w:val="0"/>
          <w:marTop w:val="0"/>
          <w:marBottom w:val="0"/>
          <w:divBdr>
            <w:top w:val="none" w:sz="0" w:space="0" w:color="auto"/>
            <w:left w:val="none" w:sz="0" w:space="0" w:color="auto"/>
            <w:bottom w:val="none" w:sz="0" w:space="0" w:color="auto"/>
            <w:right w:val="none" w:sz="0" w:space="0" w:color="auto"/>
          </w:divBdr>
        </w:div>
      </w:divsChild>
    </w:div>
    <w:div w:id="684555190">
      <w:bodyDiv w:val="1"/>
      <w:marLeft w:val="0"/>
      <w:marRight w:val="0"/>
      <w:marTop w:val="0"/>
      <w:marBottom w:val="0"/>
      <w:divBdr>
        <w:top w:val="none" w:sz="0" w:space="0" w:color="auto"/>
        <w:left w:val="none" w:sz="0" w:space="0" w:color="auto"/>
        <w:bottom w:val="none" w:sz="0" w:space="0" w:color="auto"/>
        <w:right w:val="none" w:sz="0" w:space="0" w:color="auto"/>
      </w:divBdr>
      <w:divsChild>
        <w:div w:id="355691683">
          <w:marLeft w:val="0"/>
          <w:marRight w:val="0"/>
          <w:marTop w:val="0"/>
          <w:marBottom w:val="0"/>
          <w:divBdr>
            <w:top w:val="none" w:sz="0" w:space="0" w:color="auto"/>
            <w:left w:val="none" w:sz="0" w:space="0" w:color="auto"/>
            <w:bottom w:val="none" w:sz="0" w:space="0" w:color="auto"/>
            <w:right w:val="none" w:sz="0" w:space="0" w:color="auto"/>
          </w:divBdr>
        </w:div>
        <w:div w:id="1076780405">
          <w:marLeft w:val="0"/>
          <w:marRight w:val="0"/>
          <w:marTop w:val="0"/>
          <w:marBottom w:val="0"/>
          <w:divBdr>
            <w:top w:val="none" w:sz="0" w:space="0" w:color="auto"/>
            <w:left w:val="none" w:sz="0" w:space="0" w:color="auto"/>
            <w:bottom w:val="none" w:sz="0" w:space="0" w:color="auto"/>
            <w:right w:val="none" w:sz="0" w:space="0" w:color="auto"/>
          </w:divBdr>
        </w:div>
        <w:div w:id="176857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Krywonis</dc:creator>
  <cp:lastModifiedBy>Katrina Krywonis</cp:lastModifiedBy>
  <cp:revision>3</cp:revision>
  <cp:lastPrinted>2017-10-19T21:07:00Z</cp:lastPrinted>
  <dcterms:created xsi:type="dcterms:W3CDTF">2017-11-02T18:44:00Z</dcterms:created>
  <dcterms:modified xsi:type="dcterms:W3CDTF">2017-11-02T18:54:00Z</dcterms:modified>
</cp:coreProperties>
</file>