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7D5AF" w14:textId="77777777" w:rsidR="00DE0068" w:rsidRPr="00C565E5" w:rsidRDefault="00DE0068">
      <w:pPr>
        <w:pStyle w:val="Cuerpo"/>
        <w:rPr>
          <w:rStyle w:val="Ninguno"/>
          <w:rFonts w:ascii="Times New Roman" w:eastAsia="Courier New" w:hAnsi="Times New Roman" w:cs="Times New Roman"/>
        </w:rPr>
      </w:pPr>
    </w:p>
    <w:p w14:paraId="169D4D27" w14:textId="77777777" w:rsidR="00DE0068" w:rsidRPr="00C565E5" w:rsidRDefault="00AA503D">
      <w:pPr>
        <w:pStyle w:val="Cuerpo"/>
        <w:spacing w:after="200" w:line="276" w:lineRule="auto"/>
        <w:rPr>
          <w:rStyle w:val="Ninguno"/>
          <w:rFonts w:ascii="Times New Roman" w:eastAsia="Courier New" w:hAnsi="Times New Roman" w:cs="Times New Roman"/>
        </w:rPr>
      </w:pPr>
      <w:r w:rsidRPr="00C565E5">
        <w:rPr>
          <w:rStyle w:val="Ninguno"/>
          <w:rFonts w:ascii="Times New Roman" w:hAnsi="Times New Roman" w:cs="Times New Roman"/>
        </w:rPr>
        <w:t xml:space="preserve"> </w:t>
      </w:r>
    </w:p>
    <w:p w14:paraId="2BA59BF3" w14:textId="77777777" w:rsidR="00DE0068" w:rsidRPr="00C565E5" w:rsidRDefault="00AA503D">
      <w:pPr>
        <w:pStyle w:val="Cuerpo"/>
        <w:jc w:val="center"/>
        <w:rPr>
          <w:rStyle w:val="Ninguno"/>
          <w:rFonts w:ascii="Times New Roman" w:eastAsia="Courier New" w:hAnsi="Times New Roman" w:cs="Times New Roman"/>
          <w:b/>
          <w:bCs/>
        </w:rPr>
      </w:pPr>
      <w:r w:rsidRPr="00C565E5">
        <w:rPr>
          <w:rStyle w:val="Ninguno"/>
          <w:rFonts w:ascii="Times New Roman" w:hAnsi="Times New Roman" w:cs="Times New Roman"/>
          <w:b/>
          <w:bCs/>
        </w:rPr>
        <w:t>COMMONWEALTH OF MASSACHUSETTS</w:t>
      </w:r>
    </w:p>
    <w:p w14:paraId="0B5C7765" w14:textId="77777777" w:rsidR="00DE0068" w:rsidRPr="00C565E5" w:rsidRDefault="00DE0068">
      <w:pPr>
        <w:pStyle w:val="Cuerpo"/>
        <w:jc w:val="center"/>
        <w:rPr>
          <w:rStyle w:val="Ninguno"/>
          <w:rFonts w:ascii="Times New Roman" w:eastAsia="Courier New" w:hAnsi="Times New Roman" w:cs="Times New Roman"/>
          <w:b/>
          <w:bCs/>
        </w:rPr>
      </w:pPr>
    </w:p>
    <w:p w14:paraId="755D276B" w14:textId="77777777" w:rsidR="00DE0068" w:rsidRPr="00C565E5" w:rsidRDefault="00DE0068">
      <w:pPr>
        <w:pStyle w:val="Cuerpo"/>
        <w:rPr>
          <w:rStyle w:val="Ninguno"/>
          <w:rFonts w:ascii="Times New Roman" w:eastAsia="Courier New" w:hAnsi="Times New Roman" w:cs="Times New Roman"/>
          <w:b/>
          <w:bCs/>
        </w:rPr>
      </w:pPr>
    </w:p>
    <w:p w14:paraId="11BE29E3" w14:textId="5D158960" w:rsidR="00DE0068" w:rsidRDefault="00C148E1">
      <w:pPr>
        <w:pStyle w:val="Cuerpo"/>
        <w:rPr>
          <w:rStyle w:val="Ninguno"/>
          <w:rFonts w:ascii="Times New Roman" w:hAnsi="Times New Roman" w:cs="Times New Roman"/>
          <w:b/>
          <w:bCs/>
        </w:rPr>
      </w:pPr>
      <w:r>
        <w:rPr>
          <w:rStyle w:val="Ninguno"/>
          <w:rFonts w:ascii="Times New Roman" w:hAnsi="Times New Roman" w:cs="Times New Roman"/>
          <w:b/>
          <w:bCs/>
        </w:rPr>
        <w:t>SUFFOLK</w:t>
      </w:r>
      <w:r w:rsidR="00AA503D" w:rsidRPr="00C565E5">
        <w:rPr>
          <w:rStyle w:val="Ninguno"/>
          <w:rFonts w:ascii="Times New Roman" w:hAnsi="Times New Roman" w:cs="Times New Roman"/>
          <w:b/>
          <w:bCs/>
        </w:rPr>
        <w:t>, ss</w:t>
      </w:r>
      <w:r w:rsidR="00AA503D" w:rsidRPr="00C565E5">
        <w:rPr>
          <w:rStyle w:val="Ninguno"/>
          <w:rFonts w:ascii="Times New Roman" w:hAnsi="Times New Roman" w:cs="Times New Roman"/>
          <w:b/>
          <w:bCs/>
        </w:rPr>
        <w:tab/>
      </w:r>
      <w:r>
        <w:rPr>
          <w:rStyle w:val="Ninguno"/>
          <w:rFonts w:ascii="Times New Roman" w:hAnsi="Times New Roman" w:cs="Times New Roman"/>
          <w:b/>
          <w:bCs/>
        </w:rPr>
        <w:tab/>
      </w:r>
      <w:r>
        <w:rPr>
          <w:rStyle w:val="Ninguno"/>
          <w:rFonts w:ascii="Times New Roman" w:hAnsi="Times New Roman" w:cs="Times New Roman"/>
          <w:b/>
          <w:bCs/>
        </w:rPr>
        <w:tab/>
      </w:r>
      <w:r w:rsidR="00AA503D" w:rsidRPr="00C565E5">
        <w:rPr>
          <w:rStyle w:val="Ninguno"/>
          <w:rFonts w:ascii="Times New Roman" w:hAnsi="Times New Roman" w:cs="Times New Roman"/>
          <w:b/>
          <w:bCs/>
        </w:rPr>
        <w:tab/>
      </w:r>
      <w:r w:rsidR="00811149" w:rsidRPr="00C565E5">
        <w:rPr>
          <w:rStyle w:val="Ninguno"/>
          <w:rFonts w:ascii="Times New Roman" w:hAnsi="Times New Roman" w:cs="Times New Roman"/>
          <w:b/>
          <w:bCs/>
        </w:rPr>
        <w:tab/>
      </w:r>
      <w:r>
        <w:rPr>
          <w:rStyle w:val="Ninguno"/>
          <w:rFonts w:ascii="Times New Roman" w:hAnsi="Times New Roman" w:cs="Times New Roman"/>
          <w:b/>
          <w:bCs/>
        </w:rPr>
        <w:t xml:space="preserve">BOSTON MUNICIPAL COURT </w:t>
      </w:r>
    </w:p>
    <w:p w14:paraId="4970A95D" w14:textId="716A74D5" w:rsidR="00C148E1" w:rsidRPr="00C565E5" w:rsidRDefault="00C148E1">
      <w:pPr>
        <w:pStyle w:val="Cuerpo"/>
        <w:rPr>
          <w:rStyle w:val="Ninguno"/>
          <w:rFonts w:ascii="Times New Roman" w:eastAsia="Courier New" w:hAnsi="Times New Roman" w:cs="Times New Roman"/>
          <w:b/>
          <w:bCs/>
        </w:rPr>
      </w:pPr>
      <w:r>
        <w:rPr>
          <w:rStyle w:val="Ninguno"/>
          <w:rFonts w:ascii="Times New Roman" w:hAnsi="Times New Roman" w:cs="Times New Roman"/>
          <w:b/>
          <w:bCs/>
        </w:rPr>
        <w:tab/>
      </w:r>
      <w:r>
        <w:rPr>
          <w:rStyle w:val="Ninguno"/>
          <w:rFonts w:ascii="Times New Roman" w:hAnsi="Times New Roman" w:cs="Times New Roman"/>
          <w:b/>
          <w:bCs/>
        </w:rPr>
        <w:tab/>
      </w:r>
      <w:r>
        <w:rPr>
          <w:rStyle w:val="Ninguno"/>
          <w:rFonts w:ascii="Times New Roman" w:hAnsi="Times New Roman" w:cs="Times New Roman"/>
          <w:b/>
          <w:bCs/>
        </w:rPr>
        <w:tab/>
      </w:r>
      <w:r>
        <w:rPr>
          <w:rStyle w:val="Ninguno"/>
          <w:rFonts w:ascii="Times New Roman" w:hAnsi="Times New Roman" w:cs="Times New Roman"/>
          <w:b/>
          <w:bCs/>
        </w:rPr>
        <w:tab/>
      </w:r>
      <w:r>
        <w:rPr>
          <w:rStyle w:val="Ninguno"/>
          <w:rFonts w:ascii="Times New Roman" w:hAnsi="Times New Roman" w:cs="Times New Roman"/>
          <w:b/>
          <w:bCs/>
        </w:rPr>
        <w:tab/>
      </w:r>
      <w:r>
        <w:rPr>
          <w:rStyle w:val="Ninguno"/>
          <w:rFonts w:ascii="Times New Roman" w:hAnsi="Times New Roman" w:cs="Times New Roman"/>
          <w:b/>
          <w:bCs/>
        </w:rPr>
        <w:tab/>
      </w:r>
      <w:r>
        <w:rPr>
          <w:rStyle w:val="Ninguno"/>
          <w:rFonts w:ascii="Times New Roman" w:hAnsi="Times New Roman" w:cs="Times New Roman"/>
          <w:b/>
          <w:bCs/>
        </w:rPr>
        <w:tab/>
        <w:t>WEST ROXBURY DIVISION</w:t>
      </w:r>
    </w:p>
    <w:p w14:paraId="4759A03D" w14:textId="4D679731" w:rsidR="00DE0068" w:rsidRPr="00C565E5" w:rsidRDefault="00AA503D">
      <w:pPr>
        <w:pStyle w:val="Cuerpo"/>
        <w:rPr>
          <w:rStyle w:val="Ninguno"/>
          <w:rFonts w:ascii="Times New Roman" w:eastAsia="Courier New" w:hAnsi="Times New Roman" w:cs="Times New Roman"/>
          <w:b/>
          <w:bCs/>
        </w:rPr>
      </w:pPr>
      <w:r w:rsidRPr="00C565E5">
        <w:rPr>
          <w:rStyle w:val="Ninguno"/>
          <w:rFonts w:ascii="Times New Roman" w:eastAsia="Courier New" w:hAnsi="Times New Roman" w:cs="Times New Roman"/>
          <w:b/>
          <w:bCs/>
        </w:rPr>
        <w:tab/>
      </w:r>
      <w:r w:rsidRPr="00C565E5">
        <w:rPr>
          <w:rStyle w:val="Ninguno"/>
          <w:rFonts w:ascii="Times New Roman" w:eastAsia="Courier New" w:hAnsi="Times New Roman" w:cs="Times New Roman"/>
          <w:b/>
          <w:bCs/>
        </w:rPr>
        <w:tab/>
      </w:r>
      <w:r w:rsidRPr="00C565E5">
        <w:rPr>
          <w:rStyle w:val="Ninguno"/>
          <w:rFonts w:ascii="Times New Roman" w:eastAsia="Courier New" w:hAnsi="Times New Roman" w:cs="Times New Roman"/>
          <w:b/>
          <w:bCs/>
        </w:rPr>
        <w:tab/>
      </w:r>
      <w:r w:rsidRPr="00C565E5">
        <w:rPr>
          <w:rStyle w:val="Ninguno"/>
          <w:rFonts w:ascii="Times New Roman" w:eastAsia="Courier New" w:hAnsi="Times New Roman" w:cs="Times New Roman"/>
          <w:b/>
          <w:bCs/>
        </w:rPr>
        <w:tab/>
      </w:r>
      <w:r w:rsidRPr="00C565E5">
        <w:rPr>
          <w:rStyle w:val="Ninguno"/>
          <w:rFonts w:ascii="Times New Roman" w:eastAsia="Courier New" w:hAnsi="Times New Roman" w:cs="Times New Roman"/>
          <w:b/>
          <w:bCs/>
        </w:rPr>
        <w:tab/>
      </w:r>
      <w:r w:rsidRPr="00C565E5">
        <w:rPr>
          <w:rStyle w:val="Ninguno"/>
          <w:rFonts w:ascii="Times New Roman" w:eastAsia="Courier New" w:hAnsi="Times New Roman" w:cs="Times New Roman"/>
          <w:b/>
          <w:bCs/>
        </w:rPr>
        <w:tab/>
      </w:r>
      <w:r w:rsidR="00811149" w:rsidRPr="00C565E5">
        <w:rPr>
          <w:rStyle w:val="Ninguno"/>
          <w:rFonts w:ascii="Times New Roman" w:eastAsia="Courier New" w:hAnsi="Times New Roman" w:cs="Times New Roman"/>
          <w:b/>
          <w:bCs/>
        </w:rPr>
        <w:tab/>
      </w:r>
      <w:r w:rsidRPr="00C565E5">
        <w:rPr>
          <w:rStyle w:val="Ninguno"/>
          <w:rFonts w:ascii="Times New Roman" w:eastAsia="Courier New" w:hAnsi="Times New Roman" w:cs="Times New Roman"/>
          <w:b/>
          <w:bCs/>
        </w:rPr>
        <w:t xml:space="preserve">Docket No: </w:t>
      </w:r>
    </w:p>
    <w:p w14:paraId="54651588" w14:textId="77777777" w:rsidR="00DE0068" w:rsidRPr="00C565E5" w:rsidRDefault="00DE0068">
      <w:pPr>
        <w:pStyle w:val="Cuerpo"/>
        <w:rPr>
          <w:rStyle w:val="Ninguno"/>
          <w:rFonts w:ascii="Times New Roman" w:eastAsia="Courier New" w:hAnsi="Times New Roman" w:cs="Times New Roman"/>
          <w:b/>
          <w:bCs/>
        </w:rPr>
      </w:pPr>
    </w:p>
    <w:p w14:paraId="44F7E649" w14:textId="77777777" w:rsidR="00DE0068" w:rsidRPr="00C565E5" w:rsidRDefault="00DE0068">
      <w:pPr>
        <w:pStyle w:val="Cuerpo"/>
        <w:rPr>
          <w:rStyle w:val="Ninguno"/>
          <w:rFonts w:ascii="Times New Roman" w:eastAsia="Courier New" w:hAnsi="Times New Roman" w:cs="Times New Roman"/>
          <w:b/>
          <w:bCs/>
        </w:rPr>
      </w:pPr>
    </w:p>
    <w:p w14:paraId="754A5D3A" w14:textId="77777777" w:rsidR="00DE0068" w:rsidRPr="00C565E5" w:rsidRDefault="00DE0068">
      <w:pPr>
        <w:pStyle w:val="Cuerpo"/>
        <w:jc w:val="center"/>
        <w:rPr>
          <w:rStyle w:val="Ninguno"/>
          <w:rFonts w:ascii="Times New Roman" w:eastAsia="Courier New" w:hAnsi="Times New Roman" w:cs="Times New Roman"/>
          <w:b/>
          <w:bCs/>
        </w:rPr>
      </w:pPr>
    </w:p>
    <w:p w14:paraId="40E76AB0" w14:textId="15B45CAA" w:rsidR="00DE0068" w:rsidRPr="00C565E5" w:rsidRDefault="00AA503D">
      <w:pPr>
        <w:pStyle w:val="Cuerpo"/>
        <w:jc w:val="center"/>
        <w:rPr>
          <w:rStyle w:val="Ninguno"/>
          <w:rFonts w:ascii="Times New Roman" w:eastAsia="Courier New" w:hAnsi="Times New Roman" w:cs="Times New Roman"/>
          <w:b/>
          <w:bCs/>
        </w:rPr>
      </w:pPr>
      <w:r w:rsidRPr="00C565E5">
        <w:rPr>
          <w:rStyle w:val="Ninguno"/>
          <w:rFonts w:ascii="Times New Roman" w:hAnsi="Times New Roman" w:cs="Times New Roman"/>
          <w:b/>
          <w:bCs/>
        </w:rPr>
        <w:t xml:space="preserve">Matter of </w:t>
      </w:r>
      <w:r w:rsidR="00197737">
        <w:rPr>
          <w:rStyle w:val="Ninguno"/>
          <w:rFonts w:ascii="Times New Roman" w:hAnsi="Times New Roman" w:cs="Times New Roman"/>
          <w:b/>
          <w:bCs/>
        </w:rPr>
        <w:t>Your Client</w:t>
      </w:r>
    </w:p>
    <w:p w14:paraId="08F4BC14" w14:textId="77777777" w:rsidR="00DE0068" w:rsidRPr="00C565E5" w:rsidRDefault="00DE0068">
      <w:pPr>
        <w:pStyle w:val="Cuerpo"/>
        <w:rPr>
          <w:rStyle w:val="Ninguno"/>
          <w:rFonts w:ascii="Times New Roman" w:eastAsia="Courier New" w:hAnsi="Times New Roman" w:cs="Times New Roman"/>
          <w:b/>
          <w:bCs/>
        </w:rPr>
      </w:pPr>
    </w:p>
    <w:p w14:paraId="2FE01273" w14:textId="77777777" w:rsidR="00DE0068" w:rsidRPr="00C565E5" w:rsidRDefault="00DE0068">
      <w:pPr>
        <w:pStyle w:val="Cuerpo"/>
        <w:pBdr>
          <w:bottom w:val="single" w:sz="6" w:space="0" w:color="000000"/>
        </w:pBdr>
        <w:jc w:val="center"/>
        <w:rPr>
          <w:rStyle w:val="Ninguno"/>
          <w:rFonts w:ascii="Times New Roman" w:eastAsia="Courier New" w:hAnsi="Times New Roman" w:cs="Times New Roman"/>
          <w:b/>
          <w:bCs/>
        </w:rPr>
      </w:pPr>
    </w:p>
    <w:p w14:paraId="42308EAF" w14:textId="77777777" w:rsidR="00DE0068" w:rsidRPr="00C565E5" w:rsidRDefault="00DE0068">
      <w:pPr>
        <w:pStyle w:val="Cuerpo"/>
        <w:jc w:val="center"/>
        <w:rPr>
          <w:rStyle w:val="Ninguno"/>
          <w:rFonts w:ascii="Times New Roman" w:eastAsia="Courier New" w:hAnsi="Times New Roman" w:cs="Times New Roman"/>
          <w:b/>
          <w:bCs/>
        </w:rPr>
      </w:pPr>
    </w:p>
    <w:p w14:paraId="5BDE9F4C" w14:textId="77777777" w:rsidR="00DE0068" w:rsidRPr="00C565E5" w:rsidRDefault="00DE0068">
      <w:pPr>
        <w:pStyle w:val="Cuerpo"/>
        <w:jc w:val="center"/>
        <w:rPr>
          <w:rStyle w:val="Ninguno"/>
          <w:rFonts w:ascii="Times New Roman" w:eastAsia="Courier New" w:hAnsi="Times New Roman" w:cs="Times New Roman"/>
          <w:b/>
          <w:bCs/>
        </w:rPr>
      </w:pPr>
    </w:p>
    <w:p w14:paraId="2BAEFBDD" w14:textId="63741F51" w:rsidR="00DE0068" w:rsidRPr="00C565E5" w:rsidRDefault="00C148E1" w:rsidP="00C148E1">
      <w:pPr>
        <w:pStyle w:val="Cuerpo"/>
        <w:jc w:val="center"/>
        <w:rPr>
          <w:rStyle w:val="Ninguno"/>
          <w:rFonts w:ascii="Times New Roman" w:eastAsia="Courier New" w:hAnsi="Times New Roman" w:cs="Times New Roman"/>
          <w:b/>
          <w:bCs/>
        </w:rPr>
      </w:pPr>
      <w:r>
        <w:rPr>
          <w:rStyle w:val="Ninguno"/>
          <w:rFonts w:ascii="Times New Roman" w:hAnsi="Times New Roman" w:cs="Times New Roman"/>
          <w:b/>
          <w:bCs/>
        </w:rPr>
        <w:t xml:space="preserve">MOTION FOR FINDINGS AND </w:t>
      </w:r>
      <w:r w:rsidR="00AA503D" w:rsidRPr="00C565E5">
        <w:rPr>
          <w:rStyle w:val="Ninguno"/>
          <w:rFonts w:ascii="Times New Roman" w:hAnsi="Times New Roman" w:cs="Times New Roman"/>
          <w:b/>
          <w:bCs/>
        </w:rPr>
        <w:t xml:space="preserve">MEMORANDUM OF LAW IN SUPPORT </w:t>
      </w:r>
    </w:p>
    <w:p w14:paraId="73010F4B" w14:textId="77777777" w:rsidR="00DE0068" w:rsidRPr="00C565E5" w:rsidRDefault="00DE0068">
      <w:pPr>
        <w:pStyle w:val="Cuerpo"/>
        <w:jc w:val="center"/>
        <w:rPr>
          <w:rStyle w:val="Ninguno"/>
          <w:rFonts w:ascii="Times New Roman" w:eastAsia="Courier New" w:hAnsi="Times New Roman" w:cs="Times New Roman"/>
          <w:b/>
          <w:bCs/>
        </w:rPr>
      </w:pPr>
    </w:p>
    <w:p w14:paraId="0AB4B16D" w14:textId="77777777" w:rsidR="00DE0068" w:rsidRPr="00C565E5" w:rsidRDefault="00DE0068">
      <w:pPr>
        <w:pStyle w:val="Cuerpo"/>
        <w:pBdr>
          <w:bottom w:val="single" w:sz="6" w:space="0" w:color="000000"/>
        </w:pBdr>
        <w:jc w:val="center"/>
        <w:rPr>
          <w:rStyle w:val="Ninguno"/>
          <w:rFonts w:ascii="Times New Roman" w:eastAsia="Courier New" w:hAnsi="Times New Roman" w:cs="Times New Roman"/>
          <w:b/>
          <w:bCs/>
        </w:rPr>
      </w:pPr>
    </w:p>
    <w:p w14:paraId="62BA3ED7" w14:textId="78E243B5" w:rsidR="003301A3" w:rsidRDefault="003301A3">
      <w:pPr>
        <w:pStyle w:val="Cuerpo"/>
        <w:spacing w:line="480" w:lineRule="auto"/>
        <w:rPr>
          <w:rStyle w:val="Ninguno"/>
          <w:rFonts w:ascii="Times New Roman" w:eastAsia="Courier New" w:hAnsi="Times New Roman" w:cs="Times New Roman"/>
        </w:rPr>
      </w:pPr>
    </w:p>
    <w:p w14:paraId="12D2F9DB" w14:textId="5271BA70" w:rsidR="00870AAE" w:rsidRDefault="00C148E1" w:rsidP="00870AAE">
      <w:pPr>
        <w:pStyle w:val="Cuerpo"/>
        <w:spacing w:line="480" w:lineRule="auto"/>
        <w:ind w:firstLine="720"/>
        <w:rPr>
          <w:rFonts w:ascii="Times New Roman" w:eastAsia="Times New Roman" w:hAnsi="Times New Roman"/>
        </w:rPr>
      </w:pPr>
      <w:r>
        <w:rPr>
          <w:rStyle w:val="Ninguno"/>
          <w:rFonts w:ascii="Times New Roman" w:eastAsia="Courier New" w:hAnsi="Times New Roman" w:cs="Times New Roman"/>
        </w:rPr>
        <w:tab/>
      </w:r>
      <w:r w:rsidRPr="00DB3C1B">
        <w:rPr>
          <w:rStyle w:val="Ninguno"/>
          <w:rFonts w:ascii="Times New Roman" w:eastAsia="Courier New" w:hAnsi="Times New Roman" w:cs="Times New Roman"/>
        </w:rPr>
        <w:t xml:space="preserve">Now comes the Respondent, </w:t>
      </w:r>
      <w:r w:rsidR="00197737">
        <w:rPr>
          <w:rStyle w:val="Ninguno"/>
          <w:rFonts w:ascii="Times New Roman" w:eastAsia="Courier New" w:hAnsi="Times New Roman" w:cs="Times New Roman"/>
        </w:rPr>
        <w:t>your client</w:t>
      </w:r>
      <w:r w:rsidRPr="00DB3C1B">
        <w:rPr>
          <w:rStyle w:val="Ninguno"/>
          <w:rFonts w:ascii="Times New Roman" w:eastAsia="Courier New" w:hAnsi="Times New Roman" w:cs="Times New Roman"/>
        </w:rPr>
        <w:t xml:space="preserve">, through counsel, and asks this Honorable Court to </w:t>
      </w:r>
      <w:r w:rsidR="00247CDE" w:rsidRPr="00DB3C1B">
        <w:rPr>
          <w:rStyle w:val="Ninguno"/>
          <w:rFonts w:ascii="Times New Roman" w:eastAsia="Courier New" w:hAnsi="Times New Roman" w:cs="Times New Roman"/>
        </w:rPr>
        <w:t xml:space="preserve">hold Petitioner to its burden of proving, beyond a reasonable doubt, the </w:t>
      </w:r>
      <w:r w:rsidR="00247CDE" w:rsidRPr="00DB3C1B">
        <w:rPr>
          <w:rStyle w:val="Ninguno"/>
          <w:rFonts w:ascii="Times New Roman" w:hAnsi="Times New Roman" w:cs="Times New Roman"/>
          <w:shd w:val="clear" w:color="auto" w:fill="FFFFFF"/>
        </w:rPr>
        <w:t xml:space="preserve">two additional required elements for civil commitments established through the supervisory powers of the Supreme Judicial Court in </w:t>
      </w:r>
      <w:r w:rsidR="00247CDE" w:rsidRPr="00DB3C1B">
        <w:rPr>
          <w:rStyle w:val="Ninguno"/>
          <w:rFonts w:ascii="Times New Roman" w:hAnsi="Times New Roman" w:cs="Times New Roman"/>
          <w:i/>
        </w:rPr>
        <w:t>Foster v. Comm'r of Correction</w:t>
      </w:r>
      <w:r w:rsidR="00247CDE" w:rsidRPr="00DB3C1B">
        <w:rPr>
          <w:rStyle w:val="Ninguno"/>
          <w:rFonts w:ascii="Times New Roman" w:hAnsi="Times New Roman" w:cs="Times New Roman"/>
        </w:rPr>
        <w:t>, 484 Mass. 698  (2020) ("</w:t>
      </w:r>
      <w:r w:rsidR="00247CDE" w:rsidRPr="00DB3C1B">
        <w:rPr>
          <w:rStyle w:val="Ninguno"/>
          <w:rFonts w:ascii="Times New Roman" w:hAnsi="Times New Roman" w:cs="Times New Roman"/>
          <w:i/>
        </w:rPr>
        <w:t>Foster I")</w:t>
      </w:r>
      <w:r w:rsidR="00DB3C1B">
        <w:rPr>
          <w:rStyle w:val="Ninguno"/>
          <w:rFonts w:ascii="Times New Roman" w:hAnsi="Times New Roman" w:cs="Times New Roman"/>
          <w:i/>
        </w:rPr>
        <w:t xml:space="preserve"> </w:t>
      </w:r>
      <w:r w:rsidR="00DB3C1B" w:rsidRPr="00DB3C1B">
        <w:rPr>
          <w:rStyle w:val="Ninguno"/>
          <w:rFonts w:ascii="Times New Roman" w:hAnsi="Times New Roman" w:cs="Times New Roman"/>
          <w:iCs/>
        </w:rPr>
        <w:t>for the duration of the COVID-19 pandemic</w:t>
      </w:r>
      <w:r w:rsidR="00870AAE">
        <w:rPr>
          <w:rStyle w:val="Ninguno"/>
          <w:rFonts w:ascii="Times New Roman" w:hAnsi="Times New Roman" w:cs="Times New Roman"/>
          <w:i/>
        </w:rPr>
        <w:t>.</w:t>
      </w:r>
      <w:r w:rsidR="00870AAE">
        <w:rPr>
          <w:rFonts w:ascii="Times New Roman" w:eastAsia="Times New Roman" w:hAnsi="Times New Roman"/>
        </w:rPr>
        <w:t xml:space="preserve"> </w:t>
      </w:r>
      <w:r w:rsidR="00870AAE">
        <w:rPr>
          <w:rStyle w:val="Ninguno"/>
          <w:rFonts w:ascii="Times New Roman" w:hAnsi="Times New Roman" w:cs="Times New Roman"/>
          <w:iCs/>
        </w:rPr>
        <w:t>S</w:t>
      </w:r>
      <w:r w:rsidR="00870AAE" w:rsidRPr="00DB3C1B">
        <w:rPr>
          <w:rStyle w:val="Ninguno"/>
          <w:rFonts w:ascii="Times New Roman" w:hAnsi="Times New Roman" w:cs="Times New Roman"/>
          <w:iCs/>
        </w:rPr>
        <w:t xml:space="preserve">hould this Honorable Court order Respondent committed, </w:t>
      </w:r>
      <w:r w:rsidR="00870AAE">
        <w:rPr>
          <w:rStyle w:val="Ninguno"/>
          <w:rFonts w:ascii="Times New Roman" w:hAnsi="Times New Roman" w:cs="Times New Roman"/>
          <w:iCs/>
        </w:rPr>
        <w:t xml:space="preserve">Respondent asks this Court to </w:t>
      </w:r>
      <w:r w:rsidR="00870AAE" w:rsidRPr="00DB3C1B">
        <w:rPr>
          <w:rStyle w:val="Ninguno"/>
          <w:rFonts w:ascii="Times New Roman" w:hAnsi="Times New Roman" w:cs="Times New Roman"/>
          <w:iCs/>
        </w:rPr>
        <w:t xml:space="preserve">issue written findings </w:t>
      </w:r>
      <w:r w:rsidR="00870AAE">
        <w:rPr>
          <w:rStyle w:val="Ninguno"/>
          <w:rFonts w:ascii="Times New Roman" w:hAnsi="Times New Roman" w:cs="Times New Roman"/>
          <w:iCs/>
        </w:rPr>
        <w:t xml:space="preserve">substantiating that Order </w:t>
      </w:r>
      <w:r w:rsidR="00870AAE" w:rsidRPr="00DB3C1B">
        <w:rPr>
          <w:rStyle w:val="Ninguno"/>
          <w:rFonts w:ascii="Times New Roman" w:hAnsi="Times New Roman" w:cs="Times New Roman"/>
          <w:iCs/>
        </w:rPr>
        <w:t xml:space="preserve">consistent with the </w:t>
      </w:r>
      <w:r w:rsidR="00870AAE">
        <w:rPr>
          <w:rStyle w:val="Ninguno"/>
          <w:rFonts w:ascii="Times New Roman" w:hAnsi="Times New Roman" w:cs="Times New Roman"/>
          <w:iCs/>
        </w:rPr>
        <w:t xml:space="preserve">two </w:t>
      </w:r>
      <w:r w:rsidR="00870AAE" w:rsidRPr="00DB3C1B">
        <w:rPr>
          <w:rStyle w:val="Ninguno"/>
          <w:rFonts w:ascii="Times New Roman" w:hAnsi="Times New Roman" w:cs="Times New Roman"/>
          <w:iCs/>
        </w:rPr>
        <w:t>additional elements</w:t>
      </w:r>
      <w:r w:rsidR="00870AAE">
        <w:rPr>
          <w:rStyle w:val="Ninguno"/>
          <w:rFonts w:ascii="Times New Roman" w:hAnsi="Times New Roman" w:cs="Times New Roman"/>
          <w:iCs/>
        </w:rPr>
        <w:t xml:space="preserve"> established by the Supreme Judicial Court in </w:t>
      </w:r>
      <w:r w:rsidR="00870AAE">
        <w:rPr>
          <w:rStyle w:val="Ninguno"/>
          <w:rFonts w:ascii="Times New Roman" w:hAnsi="Times New Roman" w:cs="Times New Roman"/>
          <w:i/>
        </w:rPr>
        <w:t>Foster I</w:t>
      </w:r>
      <w:r w:rsidR="00870AAE" w:rsidRPr="00DB3C1B">
        <w:rPr>
          <w:rStyle w:val="Ninguno"/>
          <w:rFonts w:ascii="Times New Roman" w:hAnsi="Times New Roman" w:cs="Times New Roman"/>
          <w:i/>
        </w:rPr>
        <w:t xml:space="preserve">. </w:t>
      </w:r>
      <w:r w:rsidR="00870AAE" w:rsidRPr="00DB3C1B">
        <w:rPr>
          <w:rStyle w:val="Ninguno"/>
          <w:rFonts w:ascii="Times New Roman" w:hAnsi="Times New Roman" w:cs="Times New Roman"/>
          <w:iCs/>
        </w:rPr>
        <w:t xml:space="preserve"> </w:t>
      </w:r>
      <w:r w:rsidR="00870AAE">
        <w:rPr>
          <w:rStyle w:val="Ninguno"/>
          <w:rFonts w:ascii="Times New Roman" w:hAnsi="Times New Roman" w:cs="Times New Roman"/>
          <w:iCs/>
        </w:rPr>
        <w:t xml:space="preserve">See </w:t>
      </w:r>
      <w:proofErr w:type="gramStart"/>
      <w:r w:rsidR="00870AAE" w:rsidRPr="00C31FE3">
        <w:rPr>
          <w:rFonts w:ascii="Times New Roman" w:eastAsia="Times New Roman" w:hAnsi="Times New Roman"/>
          <w:i/>
          <w:iCs/>
        </w:rPr>
        <w:t>In</w:t>
      </w:r>
      <w:proofErr w:type="gramEnd"/>
      <w:r w:rsidR="00870AAE" w:rsidRPr="00C31FE3">
        <w:rPr>
          <w:rFonts w:ascii="Times New Roman" w:eastAsia="Times New Roman" w:hAnsi="Times New Roman"/>
          <w:i/>
          <w:iCs/>
        </w:rPr>
        <w:t xml:space="preserve"> the Matter of a Minor</w:t>
      </w:r>
      <w:r w:rsidR="00870AAE">
        <w:rPr>
          <w:rFonts w:ascii="Times New Roman" w:eastAsia="Times New Roman" w:hAnsi="Times New Roman"/>
        </w:rPr>
        <w:t xml:space="preserve">, SJC-12747, S.C.J. March 17, 2020 at 21; </w:t>
      </w:r>
      <w:r w:rsidR="00870AAE" w:rsidRPr="00C31FE3">
        <w:rPr>
          <w:rFonts w:ascii="Times New Roman" w:eastAsia="Times New Roman" w:hAnsi="Times New Roman"/>
          <w:i/>
          <w:iCs/>
        </w:rPr>
        <w:t>Brangan v. Commonwealth</w:t>
      </w:r>
      <w:r w:rsidR="00870AAE">
        <w:rPr>
          <w:rFonts w:ascii="Times New Roman" w:eastAsia="Times New Roman" w:hAnsi="Times New Roman"/>
        </w:rPr>
        <w:t xml:space="preserve"> </w:t>
      </w:r>
      <w:r w:rsidR="00870AAE" w:rsidRPr="00C31FE3">
        <w:rPr>
          <w:rFonts w:ascii="Times New Roman" w:eastAsia="Times New Roman" w:hAnsi="Times New Roman"/>
        </w:rPr>
        <w:t>477 Mass.</w:t>
      </w:r>
      <w:r w:rsidR="00870AAE">
        <w:rPr>
          <w:rFonts w:ascii="Times New Roman" w:eastAsia="Times New Roman" w:hAnsi="Times New Roman"/>
        </w:rPr>
        <w:t xml:space="preserve"> </w:t>
      </w:r>
      <w:r w:rsidR="00870AAE" w:rsidRPr="00C31FE3">
        <w:rPr>
          <w:rFonts w:ascii="Times New Roman" w:eastAsia="Times New Roman" w:hAnsi="Times New Roman"/>
        </w:rPr>
        <w:t>691, 708 (2017)</w:t>
      </w:r>
      <w:r w:rsidR="00870AAE">
        <w:rPr>
          <w:rFonts w:ascii="Times New Roman" w:eastAsia="Times New Roman" w:hAnsi="Times New Roman"/>
        </w:rPr>
        <w:t xml:space="preserve">. </w:t>
      </w:r>
    </w:p>
    <w:p w14:paraId="71349A57" w14:textId="043B1F80" w:rsidR="00C148E1" w:rsidRDefault="00247CDE" w:rsidP="00870AAE">
      <w:pPr>
        <w:pStyle w:val="Cuerpo"/>
        <w:spacing w:line="480" w:lineRule="auto"/>
        <w:ind w:firstLine="720"/>
        <w:rPr>
          <w:rStyle w:val="Ninguno"/>
          <w:rFonts w:ascii="Times New Roman" w:hAnsi="Times New Roman" w:cs="Times New Roman"/>
        </w:rPr>
      </w:pPr>
      <w:r w:rsidRPr="00DB3C1B">
        <w:rPr>
          <w:rStyle w:val="Ninguno"/>
          <w:rFonts w:ascii="Times New Roman" w:hAnsi="Times New Roman" w:cs="Times New Roman"/>
          <w:shd w:val="clear" w:color="auto" w:fill="FFFFFF"/>
        </w:rPr>
        <w:t xml:space="preserve">The language of the Court’s ruling in </w:t>
      </w:r>
      <w:r w:rsidRPr="00DB3C1B">
        <w:rPr>
          <w:rStyle w:val="Ninguno"/>
          <w:rFonts w:ascii="Times New Roman" w:hAnsi="Times New Roman" w:cs="Times New Roman"/>
          <w:i/>
          <w:shd w:val="clear" w:color="auto" w:fill="FFFFFF"/>
        </w:rPr>
        <w:t>Foster I</w:t>
      </w:r>
      <w:r w:rsidRPr="00DB3C1B">
        <w:rPr>
          <w:rStyle w:val="Ninguno"/>
          <w:rFonts w:ascii="Times New Roman" w:hAnsi="Times New Roman" w:cs="Times New Roman"/>
          <w:shd w:val="clear" w:color="auto" w:fill="FFFFFF"/>
        </w:rPr>
        <w:t xml:space="preserve"> is mandatory</w:t>
      </w:r>
      <w:r w:rsidR="00870AAE">
        <w:rPr>
          <w:rStyle w:val="Ninguno"/>
          <w:rFonts w:ascii="Times New Roman" w:hAnsi="Times New Roman" w:cs="Times New Roman"/>
          <w:shd w:val="clear" w:color="auto" w:fill="FFFFFF"/>
        </w:rPr>
        <w:t>:</w:t>
      </w:r>
      <w:r w:rsidRPr="00DB3C1B">
        <w:rPr>
          <w:rStyle w:val="Ninguno"/>
          <w:rFonts w:ascii="Times New Roman" w:hAnsi="Times New Roman" w:cs="Times New Roman"/>
          <w:shd w:val="clear" w:color="auto" w:fill="FFFFFF"/>
        </w:rPr>
        <w:t xml:space="preserve"> “Going forward, a judge </w:t>
      </w:r>
      <w:r w:rsidRPr="00DB3C1B">
        <w:rPr>
          <w:rStyle w:val="Ninguno"/>
          <w:rFonts w:ascii="Times New Roman" w:hAnsi="Times New Roman" w:cs="Times New Roman"/>
          <w:i/>
          <w:shd w:val="clear" w:color="auto" w:fill="FFFFFF"/>
        </w:rPr>
        <w:t>shall not commit</w:t>
      </w:r>
      <w:r w:rsidRPr="00DB3C1B">
        <w:rPr>
          <w:rStyle w:val="Ninguno"/>
          <w:rFonts w:ascii="Times New Roman" w:hAnsi="Times New Roman" w:cs="Times New Roman"/>
          <w:shd w:val="clear" w:color="auto" w:fill="FFFFFF"/>
        </w:rPr>
        <w:t xml:space="preserve"> an individual…” without making the two additional findings.   </w:t>
      </w:r>
    </w:p>
    <w:p w14:paraId="39F74611" w14:textId="00731F4A" w:rsidR="003F7918" w:rsidRPr="00870AAE" w:rsidRDefault="00870AAE" w:rsidP="00870AAE">
      <w:pPr>
        <w:pStyle w:val="Cuerpo"/>
        <w:spacing w:line="480" w:lineRule="auto"/>
        <w:ind w:firstLine="720"/>
        <w:rPr>
          <w:rStyle w:val="Ninguno"/>
          <w:rFonts w:ascii="Times New Roman" w:eastAsia="Courier New" w:hAnsi="Times New Roman" w:cs="Times New Roman"/>
          <w:color w:val="auto"/>
          <w:shd w:val="clear" w:color="auto" w:fill="FFFFFF"/>
        </w:rPr>
      </w:pPr>
      <w:r>
        <w:rPr>
          <w:rStyle w:val="Hyperlink"/>
          <w:rFonts w:ascii="Times New Roman" w:hAnsi="Times New Roman" w:cs="Times New Roman"/>
          <w:u w:val="none"/>
          <w:shd w:val="clear" w:color="auto" w:fill="FFFFFF"/>
        </w:rPr>
        <w:lastRenderedPageBreak/>
        <w:t>First, t</w:t>
      </w:r>
      <w:r w:rsidR="003F7918">
        <w:rPr>
          <w:rStyle w:val="Hyperlink"/>
          <w:rFonts w:ascii="Times New Roman" w:hAnsi="Times New Roman" w:cs="Times New Roman"/>
          <w:u w:val="none"/>
          <w:shd w:val="clear" w:color="auto" w:fill="FFFFFF"/>
        </w:rPr>
        <w:t xml:space="preserve">he trial court must </w:t>
      </w:r>
      <w:r w:rsidR="003F7918" w:rsidRPr="00C565E5">
        <w:rPr>
          <w:rStyle w:val="Ninguno"/>
          <w:rFonts w:ascii="Times New Roman" w:hAnsi="Times New Roman" w:cs="Times New Roman"/>
          <w:shd w:val="clear" w:color="auto" w:fill="FFFFFF"/>
        </w:rPr>
        <w:t>assess the risk of harm in the community versus the risk of transmission of COVID-19 in the facility</w:t>
      </w:r>
      <w:r>
        <w:rPr>
          <w:rStyle w:val="Ninguno"/>
          <w:rFonts w:ascii="Times New Roman" w:hAnsi="Times New Roman" w:cs="Times New Roman"/>
          <w:shd w:val="clear" w:color="auto" w:fill="FFFFFF"/>
        </w:rPr>
        <w:t xml:space="preserve">. </w:t>
      </w:r>
      <w:r>
        <w:rPr>
          <w:rStyle w:val="Ninguno"/>
          <w:rFonts w:ascii="Times New Roman" w:hAnsi="Times New Roman" w:cs="Times New Roman"/>
          <w:i/>
          <w:iCs/>
          <w:shd w:val="clear" w:color="auto" w:fill="FFFFFF"/>
        </w:rPr>
        <w:t xml:space="preserve">Foster, </w:t>
      </w:r>
      <w:r w:rsidRPr="00870AAE">
        <w:rPr>
          <w:rStyle w:val="Ninguno"/>
          <w:rFonts w:ascii="Times New Roman" w:hAnsi="Times New Roman" w:cs="Times New Roman"/>
          <w:i/>
          <w:iCs/>
          <w:u w:val="single"/>
          <w:shd w:val="clear" w:color="auto" w:fill="FFFFFF"/>
        </w:rPr>
        <w:t>supra</w:t>
      </w:r>
      <w:r>
        <w:rPr>
          <w:rStyle w:val="Ninguno"/>
          <w:rFonts w:ascii="Times New Roman" w:hAnsi="Times New Roman" w:cs="Times New Roman"/>
          <w:shd w:val="clear" w:color="auto" w:fill="FFFFFF"/>
        </w:rPr>
        <w:t xml:space="preserve"> at *21.</w:t>
      </w:r>
    </w:p>
    <w:p w14:paraId="0383BBCE" w14:textId="7E473339" w:rsidR="003F7918" w:rsidRDefault="003F7918" w:rsidP="003F7918">
      <w:pPr>
        <w:pStyle w:val="NoSpacing"/>
        <w:spacing w:line="480" w:lineRule="auto"/>
        <w:ind w:firstLine="720"/>
        <w:rPr>
          <w:rStyle w:val="Ninguno"/>
          <w:rFonts w:ascii="Times New Roman" w:hAnsi="Times New Roman" w:cs="Times New Roman"/>
          <w:sz w:val="24"/>
          <w:szCs w:val="24"/>
          <w:shd w:val="clear" w:color="auto" w:fill="FFFFFF"/>
        </w:rPr>
      </w:pPr>
      <w:r w:rsidRPr="00C565E5">
        <w:rPr>
          <w:rStyle w:val="Ninguno"/>
          <w:rFonts w:ascii="Times New Roman" w:hAnsi="Times New Roman" w:cs="Times New Roman"/>
          <w:sz w:val="24"/>
          <w:szCs w:val="24"/>
          <w:shd w:val="clear" w:color="auto" w:fill="FFFFFF"/>
        </w:rPr>
        <w:t xml:space="preserve">Second, the judge "must find that commitment is necessary notwithstanding the treatment limitations imposed by quarantine protocols." </w:t>
      </w:r>
      <w:r w:rsidRPr="006727A6">
        <w:rPr>
          <w:rStyle w:val="Ninguno"/>
          <w:rFonts w:ascii="Times New Roman" w:hAnsi="Times New Roman" w:cs="Times New Roman"/>
          <w:i/>
          <w:sz w:val="24"/>
          <w:szCs w:val="24"/>
          <w:u w:val="single"/>
          <w:shd w:val="clear" w:color="auto" w:fill="FFFFFF"/>
        </w:rPr>
        <w:t>Id.</w:t>
      </w:r>
      <w:r w:rsidRPr="00C565E5">
        <w:rPr>
          <w:rStyle w:val="Ninguno"/>
          <w:rFonts w:ascii="Times New Roman" w:hAnsi="Times New Roman" w:cs="Times New Roman"/>
          <w:sz w:val="24"/>
          <w:szCs w:val="24"/>
          <w:shd w:val="clear" w:color="auto" w:fill="FFFFFF"/>
        </w:rPr>
        <w:t xml:space="preserve"> </w:t>
      </w:r>
    </w:p>
    <w:p w14:paraId="199FA2FB" w14:textId="77777777" w:rsidR="003F7918" w:rsidRPr="00C148E1" w:rsidRDefault="003F7918">
      <w:pPr>
        <w:pStyle w:val="Cuerpo"/>
        <w:spacing w:line="480" w:lineRule="auto"/>
        <w:rPr>
          <w:rStyle w:val="Ninguno"/>
          <w:rFonts w:ascii="Times New Roman" w:eastAsia="Courier New" w:hAnsi="Times New Roman" w:cs="Times New Roman"/>
          <w:iCs/>
        </w:rPr>
      </w:pPr>
    </w:p>
    <w:p w14:paraId="010A394B" w14:textId="2699323C" w:rsidR="00992853" w:rsidRPr="00247CDE" w:rsidRDefault="00992853" w:rsidP="00247CDE">
      <w:pPr>
        <w:pStyle w:val="ListParagraph"/>
        <w:numPr>
          <w:ilvl w:val="0"/>
          <w:numId w:val="30"/>
        </w:numPr>
        <w:rPr>
          <w:rFonts w:ascii="Times New Roman" w:hAnsi="Times New Roman" w:cs="Times New Roman"/>
          <w:sz w:val="24"/>
          <w:szCs w:val="24"/>
          <w:u w:val="single"/>
        </w:rPr>
      </w:pPr>
      <w:r w:rsidRPr="00247CDE">
        <w:rPr>
          <w:rFonts w:ascii="Times New Roman" w:hAnsi="Times New Roman" w:cs="Times New Roman"/>
          <w:b/>
          <w:sz w:val="24"/>
          <w:szCs w:val="24"/>
          <w:u w:val="single"/>
        </w:rPr>
        <w:t>INTRODUCTION</w:t>
      </w:r>
    </w:p>
    <w:p w14:paraId="3A0F5FED" w14:textId="59102248" w:rsidR="00992853" w:rsidRPr="00C565E5" w:rsidRDefault="00992853" w:rsidP="00F915DB"/>
    <w:p w14:paraId="76E19161" w14:textId="0B069027" w:rsidR="00DE0068" w:rsidRPr="00C565E5" w:rsidRDefault="00992853" w:rsidP="00F915DB">
      <w:pPr>
        <w:spacing w:line="480" w:lineRule="auto"/>
        <w:rPr>
          <w:rStyle w:val="Ninguno"/>
          <w:rFonts w:eastAsia="Courier New"/>
        </w:rPr>
      </w:pPr>
      <w:r w:rsidRPr="00C565E5">
        <w:rPr>
          <w:b/>
        </w:rPr>
        <w:tab/>
      </w:r>
      <w:r w:rsidRPr="00C565E5">
        <w:t>In three recent decisions,</w:t>
      </w:r>
      <w:r w:rsidR="003301A3" w:rsidRPr="00C565E5">
        <w:t xml:space="preserve"> </w:t>
      </w:r>
      <w:r w:rsidRPr="00C565E5">
        <w:rPr>
          <w:rStyle w:val="Ninguno"/>
        </w:rPr>
        <w:t>t</w:t>
      </w:r>
      <w:r w:rsidR="00AA503D" w:rsidRPr="00C565E5">
        <w:rPr>
          <w:rStyle w:val="Ninguno"/>
        </w:rPr>
        <w:t>he S</w:t>
      </w:r>
      <w:r w:rsidR="003301A3" w:rsidRPr="00C565E5">
        <w:rPr>
          <w:rStyle w:val="Ninguno"/>
        </w:rPr>
        <w:t xml:space="preserve">upreme Judicial Court </w:t>
      </w:r>
      <w:r w:rsidR="00AA503D" w:rsidRPr="00C565E5">
        <w:rPr>
          <w:rStyle w:val="Ninguno"/>
        </w:rPr>
        <w:t>has recognized th</w:t>
      </w:r>
      <w:r w:rsidRPr="00C565E5">
        <w:rPr>
          <w:rStyle w:val="Ninguno"/>
        </w:rPr>
        <w:t xml:space="preserve">e significant risk to health and life posed by the coronavirus and ordered enhanced court review procedures to reduce the spread of the virus and minimize the risk of illness and death to those confined in congregate settings.  In </w:t>
      </w:r>
      <w:r w:rsidR="00AA503D" w:rsidRPr="00EA742F">
        <w:rPr>
          <w:rStyle w:val="Ninguno"/>
          <w:i/>
        </w:rPr>
        <w:t>Christie v. Commonwealth</w:t>
      </w:r>
      <w:r w:rsidR="00AA503D" w:rsidRPr="00C565E5">
        <w:rPr>
          <w:rStyle w:val="Ninguno"/>
        </w:rPr>
        <w:t>, 484 Mass. 397</w:t>
      </w:r>
      <w:r w:rsidR="00C776A9">
        <w:rPr>
          <w:rStyle w:val="Ninguno"/>
        </w:rPr>
        <w:t xml:space="preserve"> </w:t>
      </w:r>
      <w:r w:rsidR="00AA503D" w:rsidRPr="00C565E5">
        <w:rPr>
          <w:rStyle w:val="Ninguno"/>
        </w:rPr>
        <w:t>(2020)</w:t>
      </w:r>
      <w:r w:rsidRPr="00C565E5">
        <w:rPr>
          <w:rStyle w:val="Ninguno"/>
        </w:rPr>
        <w:t xml:space="preserve">, the Court found that the virus can cause "severe complications, such as pneumonia in both lungs, multi-organ failure, and in some cases death" </w:t>
      </w:r>
      <w:r w:rsidR="00AA503D" w:rsidRPr="00C565E5">
        <w:rPr>
          <w:rStyle w:val="Ninguno"/>
        </w:rPr>
        <w:t xml:space="preserve"> </w:t>
      </w:r>
      <w:r w:rsidRPr="00C565E5">
        <w:rPr>
          <w:rStyle w:val="Ninguno"/>
        </w:rPr>
        <w:t xml:space="preserve">and </w:t>
      </w:r>
      <w:r w:rsidR="00AA503D" w:rsidRPr="00C565E5">
        <w:rPr>
          <w:rStyle w:val="Ninguno"/>
        </w:rPr>
        <w:t xml:space="preserve">“is a particular risk to older adults and to individuals with underlying health conditions, such as cardiovascular disease, diabetes, and chronic respiratory disease." </w:t>
      </w:r>
      <w:r w:rsidR="00C776A9" w:rsidRPr="00C776A9">
        <w:rPr>
          <w:rStyle w:val="Ninguno"/>
        </w:rPr>
        <w:t xml:space="preserve"> 484 Mass at 399.</w:t>
      </w:r>
      <w:r w:rsidR="00AA503D" w:rsidRPr="00C776A9">
        <w:rPr>
          <w:rStyle w:val="Ninguno"/>
        </w:rPr>
        <w:t xml:space="preserve">   </w:t>
      </w:r>
    </w:p>
    <w:p w14:paraId="658E6A4D" w14:textId="3BD132D2" w:rsidR="003301A3" w:rsidRPr="00C565E5" w:rsidRDefault="00AA503D" w:rsidP="00F915DB">
      <w:pPr>
        <w:pStyle w:val="NoSpacing"/>
        <w:spacing w:line="480" w:lineRule="auto"/>
        <w:ind w:firstLine="720"/>
        <w:rPr>
          <w:rStyle w:val="Ninguno"/>
          <w:rFonts w:ascii="Times New Roman" w:hAnsi="Times New Roman" w:cs="Times New Roman"/>
          <w:sz w:val="24"/>
          <w:szCs w:val="24"/>
        </w:rPr>
      </w:pPr>
      <w:r w:rsidRPr="00C565E5">
        <w:rPr>
          <w:rStyle w:val="Ninguno"/>
          <w:rFonts w:ascii="Times New Roman" w:hAnsi="Times New Roman" w:cs="Times New Roman"/>
          <w:sz w:val="24"/>
          <w:szCs w:val="24"/>
        </w:rPr>
        <w:t xml:space="preserve">Given this “unprecedented and urgent” threat, the SJC </w:t>
      </w:r>
      <w:r w:rsidR="005734C6" w:rsidRPr="00C565E5">
        <w:rPr>
          <w:rStyle w:val="Ninguno"/>
          <w:rFonts w:ascii="Times New Roman" w:hAnsi="Times New Roman" w:cs="Times New Roman"/>
          <w:sz w:val="24"/>
          <w:szCs w:val="24"/>
        </w:rPr>
        <w:t xml:space="preserve">subsequently </w:t>
      </w:r>
      <w:r w:rsidRPr="00C565E5">
        <w:rPr>
          <w:rStyle w:val="Ninguno"/>
          <w:rFonts w:ascii="Times New Roman" w:hAnsi="Times New Roman" w:cs="Times New Roman"/>
          <w:sz w:val="24"/>
          <w:szCs w:val="24"/>
        </w:rPr>
        <w:t xml:space="preserve">held that “a reduction in the number of people in custody is necessary” </w:t>
      </w:r>
      <w:r w:rsidR="005734C6" w:rsidRPr="00EA742F">
        <w:rPr>
          <w:rStyle w:val="Ninguno"/>
          <w:rFonts w:ascii="Times New Roman" w:hAnsi="Times New Roman" w:cs="Times New Roman"/>
          <w:i/>
          <w:sz w:val="24"/>
          <w:szCs w:val="24"/>
        </w:rPr>
        <w:t>CPCS v. Chief Justice of the Trial</w:t>
      </w:r>
      <w:r w:rsidR="005734C6" w:rsidRPr="00C565E5">
        <w:rPr>
          <w:rStyle w:val="Ninguno"/>
          <w:rFonts w:ascii="Times New Roman" w:hAnsi="Times New Roman" w:cs="Times New Roman"/>
          <w:sz w:val="24"/>
          <w:szCs w:val="24"/>
          <w:u w:val="single"/>
        </w:rPr>
        <w:t xml:space="preserve"> </w:t>
      </w:r>
      <w:r w:rsidR="005734C6" w:rsidRPr="00EA742F">
        <w:rPr>
          <w:rStyle w:val="Ninguno"/>
          <w:rFonts w:ascii="Times New Roman" w:hAnsi="Times New Roman" w:cs="Times New Roman"/>
          <w:i/>
          <w:sz w:val="24"/>
          <w:szCs w:val="24"/>
        </w:rPr>
        <w:t>Court,</w:t>
      </w:r>
      <w:r w:rsidR="005734C6" w:rsidRPr="00C565E5">
        <w:rPr>
          <w:rStyle w:val="Ninguno"/>
          <w:rFonts w:ascii="Times New Roman" w:hAnsi="Times New Roman" w:cs="Times New Roman"/>
          <w:sz w:val="24"/>
          <w:szCs w:val="24"/>
        </w:rPr>
        <w:t xml:space="preserve"> 484 Mass. 431, 445 (2020) and that</w:t>
      </w:r>
      <w:r w:rsidR="003301A3" w:rsidRPr="00C565E5">
        <w:rPr>
          <w:rStyle w:val="Ninguno"/>
          <w:rFonts w:ascii="Times New Roman" w:hAnsi="Times New Roman" w:cs="Times New Roman"/>
          <w:sz w:val="24"/>
          <w:szCs w:val="24"/>
        </w:rPr>
        <w:t xml:space="preserve"> </w:t>
      </w:r>
      <w:r w:rsidR="005734C6" w:rsidRPr="00C565E5">
        <w:rPr>
          <w:rStyle w:val="Ninguno"/>
          <w:rFonts w:ascii="Times New Roman" w:hAnsi="Times New Roman" w:cs="Times New Roman"/>
          <w:sz w:val="24"/>
          <w:szCs w:val="24"/>
        </w:rPr>
        <w:t>d</w:t>
      </w:r>
      <w:r w:rsidRPr="00C565E5">
        <w:rPr>
          <w:rStyle w:val="Ninguno"/>
          <w:rFonts w:ascii="Times New Roman" w:hAnsi="Times New Roman" w:cs="Times New Roman"/>
          <w:sz w:val="24"/>
          <w:szCs w:val="24"/>
        </w:rPr>
        <w:t>ue to the inherent risks of the COVID-19 pandemic and the changed circumstances th</w:t>
      </w:r>
      <w:r w:rsidR="005734C6" w:rsidRPr="00C565E5">
        <w:rPr>
          <w:rStyle w:val="Ninguno"/>
          <w:rFonts w:ascii="Times New Roman" w:hAnsi="Times New Roman" w:cs="Times New Roman"/>
          <w:sz w:val="24"/>
          <w:szCs w:val="24"/>
        </w:rPr>
        <w:t>e</w:t>
      </w:r>
      <w:r w:rsidRPr="00C565E5">
        <w:rPr>
          <w:rStyle w:val="Ninguno"/>
          <w:rFonts w:ascii="Times New Roman" w:hAnsi="Times New Roman" w:cs="Times New Roman"/>
          <w:sz w:val="24"/>
          <w:szCs w:val="24"/>
        </w:rPr>
        <w:t xml:space="preserve"> disease presents, any qualifying individual is entitled to a "rebuttable presumption of release." </w:t>
      </w:r>
      <w:r w:rsidRPr="00EA742F">
        <w:rPr>
          <w:rStyle w:val="Ninguno"/>
          <w:rFonts w:ascii="Times New Roman" w:hAnsi="Times New Roman" w:cs="Times New Roman"/>
          <w:i/>
          <w:sz w:val="24"/>
          <w:szCs w:val="24"/>
        </w:rPr>
        <w:t>CPCS v. Chief Justice</w:t>
      </w:r>
      <w:r w:rsidRPr="00C565E5">
        <w:rPr>
          <w:rStyle w:val="Ninguno"/>
          <w:rFonts w:ascii="Times New Roman" w:hAnsi="Times New Roman" w:cs="Times New Roman"/>
          <w:sz w:val="24"/>
          <w:szCs w:val="24"/>
        </w:rPr>
        <w:t xml:space="preserve">, 484 Mass. </w:t>
      </w:r>
      <w:r w:rsidR="00FD4577" w:rsidRPr="00C565E5">
        <w:rPr>
          <w:rStyle w:val="Ninguno"/>
          <w:rFonts w:ascii="Times New Roman" w:hAnsi="Times New Roman" w:cs="Times New Roman"/>
          <w:sz w:val="24"/>
          <w:szCs w:val="24"/>
        </w:rPr>
        <w:t xml:space="preserve">at </w:t>
      </w:r>
      <w:r w:rsidRPr="00C565E5">
        <w:rPr>
          <w:rStyle w:val="Ninguno"/>
          <w:rFonts w:ascii="Times New Roman" w:hAnsi="Times New Roman" w:cs="Times New Roman"/>
          <w:sz w:val="24"/>
          <w:szCs w:val="24"/>
        </w:rPr>
        <w:t>435</w:t>
      </w:r>
      <w:r w:rsidR="00FD4577" w:rsidRPr="00C565E5">
        <w:rPr>
          <w:rStyle w:val="Ninguno"/>
          <w:rFonts w:ascii="Times New Roman" w:hAnsi="Times New Roman" w:cs="Times New Roman"/>
          <w:sz w:val="24"/>
          <w:szCs w:val="24"/>
        </w:rPr>
        <w:t>.</w:t>
      </w:r>
      <w:r w:rsidRPr="00C565E5">
        <w:rPr>
          <w:rStyle w:val="Ninguno"/>
          <w:rFonts w:ascii="Times New Roman" w:hAnsi="Times New Roman" w:cs="Times New Roman"/>
          <w:sz w:val="24"/>
          <w:szCs w:val="24"/>
        </w:rPr>
        <w:t xml:space="preserve"> During these "extraordinary times," a judge must now consider not only the danger to the community if the defendant is released, but also the “health risk </w:t>
      </w:r>
      <w:r w:rsidRPr="00C565E5">
        <w:rPr>
          <w:rStyle w:val="Ninguno"/>
          <w:rFonts w:ascii="Times New Roman" w:hAnsi="Times New Roman" w:cs="Times New Roman"/>
          <w:i/>
          <w:iCs/>
          <w:sz w:val="24"/>
          <w:szCs w:val="24"/>
        </w:rPr>
        <w:t xml:space="preserve">to the defendant </w:t>
      </w:r>
      <w:r w:rsidRPr="00C565E5">
        <w:rPr>
          <w:rStyle w:val="Ninguno"/>
          <w:rFonts w:ascii="Times New Roman" w:hAnsi="Times New Roman" w:cs="Times New Roman"/>
          <w:sz w:val="24"/>
          <w:szCs w:val="24"/>
        </w:rPr>
        <w:t xml:space="preserve">if the defendant were to remain in custody.” </w:t>
      </w:r>
      <w:r w:rsidRPr="00C565E5">
        <w:rPr>
          <w:rStyle w:val="Ninguno"/>
          <w:rFonts w:ascii="Times New Roman" w:hAnsi="Times New Roman" w:cs="Times New Roman"/>
          <w:sz w:val="24"/>
          <w:szCs w:val="24"/>
          <w:u w:val="single"/>
        </w:rPr>
        <w:t>Christie</w:t>
      </w:r>
      <w:r w:rsidRPr="00C565E5">
        <w:rPr>
          <w:rStyle w:val="Ninguno"/>
          <w:rFonts w:ascii="Times New Roman" w:hAnsi="Times New Roman" w:cs="Times New Roman"/>
          <w:sz w:val="24"/>
          <w:szCs w:val="24"/>
        </w:rPr>
        <w:t>, 484 Mass.</w:t>
      </w:r>
      <w:r w:rsidR="00EA742F">
        <w:rPr>
          <w:rStyle w:val="Ninguno"/>
          <w:rFonts w:ascii="Times New Roman" w:hAnsi="Times New Roman" w:cs="Times New Roman"/>
          <w:sz w:val="24"/>
          <w:szCs w:val="24"/>
        </w:rPr>
        <w:t xml:space="preserve"> 397</w:t>
      </w:r>
      <w:r w:rsidRPr="00C565E5">
        <w:rPr>
          <w:rStyle w:val="Ninguno"/>
          <w:rFonts w:ascii="Times New Roman" w:hAnsi="Times New Roman" w:cs="Times New Roman"/>
          <w:sz w:val="24"/>
          <w:szCs w:val="24"/>
        </w:rPr>
        <w:t xml:space="preserve"> at 401–02 (Emphasis added)</w:t>
      </w:r>
      <w:r w:rsidR="00FD4577" w:rsidRPr="00C565E5">
        <w:rPr>
          <w:rStyle w:val="Ninguno"/>
          <w:rFonts w:ascii="Times New Roman" w:hAnsi="Times New Roman" w:cs="Times New Roman"/>
          <w:sz w:val="24"/>
          <w:szCs w:val="24"/>
        </w:rPr>
        <w:t>.</w:t>
      </w:r>
      <w:r w:rsidRPr="00C565E5">
        <w:rPr>
          <w:rStyle w:val="Ninguno"/>
          <w:rFonts w:ascii="Times New Roman" w:hAnsi="Times New Roman" w:cs="Times New Roman"/>
          <w:sz w:val="24"/>
          <w:szCs w:val="24"/>
        </w:rPr>
        <w:t xml:space="preserve"> </w:t>
      </w:r>
    </w:p>
    <w:p w14:paraId="7762C5C5" w14:textId="2C1B7210" w:rsidR="001D214E" w:rsidRPr="00C565E5" w:rsidRDefault="00A510A2" w:rsidP="00F915DB">
      <w:pPr>
        <w:pStyle w:val="NoSpacing"/>
        <w:spacing w:line="480" w:lineRule="auto"/>
        <w:ind w:firstLine="720"/>
        <w:rPr>
          <w:rStyle w:val="Ninguno"/>
          <w:rFonts w:ascii="Times New Roman" w:hAnsi="Times New Roman" w:cs="Times New Roman"/>
          <w:color w:val="auto"/>
          <w:sz w:val="24"/>
          <w:szCs w:val="24"/>
        </w:rPr>
      </w:pPr>
      <w:r w:rsidRPr="00C565E5">
        <w:rPr>
          <w:rStyle w:val="Ninguno"/>
          <w:rFonts w:ascii="Times New Roman" w:hAnsi="Times New Roman" w:cs="Times New Roman"/>
          <w:sz w:val="24"/>
          <w:szCs w:val="24"/>
        </w:rPr>
        <w:lastRenderedPageBreak/>
        <w:t xml:space="preserve">Most recently, the Court held in </w:t>
      </w:r>
      <w:r w:rsidR="00AA503D" w:rsidRPr="00701F42">
        <w:rPr>
          <w:rStyle w:val="Ninguno"/>
          <w:rFonts w:ascii="Times New Roman" w:hAnsi="Times New Roman" w:cs="Times New Roman"/>
          <w:i/>
          <w:sz w:val="24"/>
          <w:szCs w:val="24"/>
        </w:rPr>
        <w:t>Foster v. Comm'r of Correction</w:t>
      </w:r>
      <w:r w:rsidR="003F5E16">
        <w:rPr>
          <w:rStyle w:val="Ninguno"/>
          <w:rFonts w:ascii="Times New Roman" w:hAnsi="Times New Roman" w:cs="Times New Roman"/>
          <w:sz w:val="24"/>
          <w:szCs w:val="24"/>
        </w:rPr>
        <w:t>, 484 Mass. 698</w:t>
      </w:r>
      <w:r w:rsidR="00796185">
        <w:rPr>
          <w:rStyle w:val="Ninguno"/>
          <w:rFonts w:ascii="Times New Roman" w:hAnsi="Times New Roman" w:cs="Times New Roman"/>
          <w:sz w:val="24"/>
          <w:szCs w:val="24"/>
        </w:rPr>
        <w:t xml:space="preserve"> </w:t>
      </w:r>
      <w:r w:rsidR="00AA503D" w:rsidRPr="00C565E5">
        <w:rPr>
          <w:rStyle w:val="Ninguno"/>
          <w:rFonts w:ascii="Times New Roman" w:hAnsi="Times New Roman" w:cs="Times New Roman"/>
          <w:sz w:val="24"/>
          <w:szCs w:val="24"/>
        </w:rPr>
        <w:t xml:space="preserve"> (2020)</w:t>
      </w:r>
      <w:r w:rsidR="00BC4EE0" w:rsidRPr="00C565E5">
        <w:rPr>
          <w:rStyle w:val="Ninguno"/>
          <w:rFonts w:ascii="Times New Roman" w:hAnsi="Times New Roman" w:cs="Times New Roman"/>
          <w:sz w:val="24"/>
          <w:szCs w:val="24"/>
        </w:rPr>
        <w:t xml:space="preserve"> ("</w:t>
      </w:r>
      <w:r w:rsidR="00BC4EE0" w:rsidRPr="00701F42">
        <w:rPr>
          <w:rStyle w:val="Ninguno"/>
          <w:rFonts w:ascii="Times New Roman" w:hAnsi="Times New Roman" w:cs="Times New Roman"/>
          <w:i/>
          <w:sz w:val="24"/>
          <w:szCs w:val="24"/>
        </w:rPr>
        <w:t>Foster I")</w:t>
      </w:r>
      <w:r w:rsidR="00AA503D" w:rsidRPr="00C565E5">
        <w:rPr>
          <w:rStyle w:val="Ninguno"/>
          <w:rFonts w:ascii="Times New Roman" w:hAnsi="Times New Roman" w:cs="Times New Roman"/>
          <w:sz w:val="24"/>
          <w:szCs w:val="24"/>
        </w:rPr>
        <w:t xml:space="preserve"> </w:t>
      </w:r>
      <w:r w:rsidRPr="00C565E5">
        <w:rPr>
          <w:rStyle w:val="Ninguno"/>
          <w:rFonts w:ascii="Times New Roman" w:hAnsi="Times New Roman" w:cs="Times New Roman"/>
          <w:sz w:val="24"/>
          <w:szCs w:val="24"/>
        </w:rPr>
        <w:t xml:space="preserve">that for people </w:t>
      </w:r>
      <w:r w:rsidR="006B503E">
        <w:rPr>
          <w:rStyle w:val="Ninguno"/>
          <w:rFonts w:ascii="Times New Roman" w:hAnsi="Times New Roman" w:cs="Times New Roman"/>
          <w:sz w:val="24"/>
          <w:szCs w:val="24"/>
        </w:rPr>
        <w:t>subject to</w:t>
      </w:r>
      <w:r w:rsidRPr="00C565E5">
        <w:rPr>
          <w:rStyle w:val="Ninguno"/>
          <w:rFonts w:ascii="Times New Roman" w:hAnsi="Times New Roman" w:cs="Times New Roman"/>
          <w:sz w:val="24"/>
          <w:szCs w:val="24"/>
        </w:rPr>
        <w:t xml:space="preserve"> civil commit</w:t>
      </w:r>
      <w:r w:rsidR="003F5E16">
        <w:rPr>
          <w:rStyle w:val="Ninguno"/>
          <w:rFonts w:ascii="Times New Roman" w:hAnsi="Times New Roman" w:cs="Times New Roman"/>
          <w:sz w:val="24"/>
          <w:szCs w:val="24"/>
        </w:rPr>
        <w:t>ment</w:t>
      </w:r>
      <w:r w:rsidRPr="00C565E5">
        <w:rPr>
          <w:rStyle w:val="Ninguno"/>
          <w:rFonts w:ascii="Times New Roman" w:hAnsi="Times New Roman" w:cs="Times New Roman"/>
          <w:sz w:val="24"/>
          <w:szCs w:val="24"/>
        </w:rPr>
        <w:t xml:space="preserve"> for </w:t>
      </w:r>
      <w:r w:rsidR="00AC54E2" w:rsidRPr="00C565E5">
        <w:rPr>
          <w:rStyle w:val="Ninguno"/>
          <w:rFonts w:ascii="Times New Roman" w:hAnsi="Times New Roman" w:cs="Times New Roman"/>
          <w:sz w:val="24"/>
          <w:szCs w:val="24"/>
        </w:rPr>
        <w:t xml:space="preserve">alcohol or </w:t>
      </w:r>
      <w:r w:rsidRPr="00C565E5">
        <w:rPr>
          <w:rStyle w:val="Ninguno"/>
          <w:rFonts w:ascii="Times New Roman" w:hAnsi="Times New Roman" w:cs="Times New Roman"/>
          <w:sz w:val="24"/>
          <w:szCs w:val="24"/>
        </w:rPr>
        <w:t>substance use disorder under G.L. c. 123</w:t>
      </w:r>
      <w:r w:rsidR="00EC4648" w:rsidRPr="00C565E5">
        <w:rPr>
          <w:rStyle w:val="Ninguno"/>
          <w:rFonts w:ascii="Times New Roman" w:hAnsi="Times New Roman" w:cs="Times New Roman"/>
          <w:sz w:val="24"/>
          <w:szCs w:val="24"/>
        </w:rPr>
        <w:t>,</w:t>
      </w:r>
      <w:r w:rsidRPr="00C565E5">
        <w:rPr>
          <w:rStyle w:val="Ninguno"/>
          <w:rFonts w:ascii="Times New Roman" w:hAnsi="Times New Roman" w:cs="Times New Roman"/>
          <w:sz w:val="24"/>
          <w:szCs w:val="24"/>
        </w:rPr>
        <w:t xml:space="preserve"> </w:t>
      </w:r>
      <w:r w:rsidR="00EC4648" w:rsidRPr="00C565E5">
        <w:rPr>
          <w:rStyle w:val="Ninguno"/>
          <w:rFonts w:ascii="Times New Roman" w:hAnsi="Times New Roman" w:cs="Times New Roman"/>
          <w:sz w:val="24"/>
          <w:szCs w:val="24"/>
        </w:rPr>
        <w:t xml:space="preserve">§ </w:t>
      </w:r>
      <w:r w:rsidRPr="00C565E5">
        <w:rPr>
          <w:rStyle w:val="Ninguno"/>
          <w:rFonts w:ascii="Times New Roman" w:hAnsi="Times New Roman" w:cs="Times New Roman"/>
          <w:sz w:val="24"/>
          <w:szCs w:val="24"/>
        </w:rPr>
        <w:t xml:space="preserve">35, the increased health risks in congregate settings and </w:t>
      </w:r>
      <w:r w:rsidR="00AC54E2" w:rsidRPr="00C565E5">
        <w:rPr>
          <w:rStyle w:val="Ninguno"/>
          <w:rFonts w:ascii="Times New Roman" w:hAnsi="Times New Roman" w:cs="Times New Roman"/>
          <w:sz w:val="24"/>
          <w:szCs w:val="24"/>
        </w:rPr>
        <w:t>limitations on</w:t>
      </w:r>
      <w:r w:rsidRPr="00C565E5">
        <w:rPr>
          <w:rStyle w:val="Ninguno"/>
          <w:rFonts w:ascii="Times New Roman" w:hAnsi="Times New Roman" w:cs="Times New Roman"/>
          <w:sz w:val="24"/>
          <w:szCs w:val="24"/>
        </w:rPr>
        <w:t xml:space="preserve"> treatment required </w:t>
      </w:r>
      <w:r w:rsidR="005B5C6C" w:rsidRPr="00C565E5">
        <w:rPr>
          <w:rStyle w:val="Ninguno"/>
          <w:rFonts w:ascii="Times New Roman" w:hAnsi="Times New Roman" w:cs="Times New Roman"/>
          <w:sz w:val="24"/>
          <w:szCs w:val="24"/>
        </w:rPr>
        <w:t xml:space="preserve">trial courts to make two additional findings before ordering commitment under section 35. </w:t>
      </w:r>
      <w:r w:rsidR="003F5E16">
        <w:rPr>
          <w:rStyle w:val="Ninguno"/>
          <w:rFonts w:ascii="Times New Roman" w:hAnsi="Times New Roman" w:cs="Times New Roman"/>
          <w:sz w:val="24"/>
          <w:szCs w:val="24"/>
        </w:rPr>
        <w:t xml:space="preserve"> </w:t>
      </w:r>
      <w:r w:rsidR="00796185">
        <w:rPr>
          <w:rStyle w:val="Ninguno"/>
          <w:rFonts w:ascii="Times New Roman" w:hAnsi="Times New Roman" w:cs="Times New Roman"/>
          <w:sz w:val="24"/>
          <w:szCs w:val="24"/>
        </w:rPr>
        <w:t>484 Mass. at *21.</w:t>
      </w:r>
      <w:r w:rsidR="005B5C6C" w:rsidRPr="00C565E5">
        <w:rPr>
          <w:rStyle w:val="Ninguno"/>
          <w:rFonts w:ascii="Times New Roman" w:hAnsi="Times New Roman" w:cs="Times New Roman"/>
          <w:sz w:val="24"/>
          <w:szCs w:val="24"/>
        </w:rPr>
        <w:t xml:space="preserve"> </w:t>
      </w:r>
      <w:r w:rsidR="003F5E16">
        <w:rPr>
          <w:rStyle w:val="Ninguno"/>
          <w:rFonts w:ascii="Times New Roman" w:hAnsi="Times New Roman" w:cs="Times New Roman"/>
          <w:sz w:val="24"/>
          <w:szCs w:val="24"/>
        </w:rPr>
        <w:t xml:space="preserve"> </w:t>
      </w:r>
      <w:r w:rsidR="00FD297C">
        <w:rPr>
          <w:rStyle w:val="Ninguno"/>
          <w:rFonts w:ascii="Times New Roman" w:hAnsi="Times New Roman" w:cs="Times New Roman"/>
          <w:sz w:val="24"/>
          <w:szCs w:val="24"/>
        </w:rPr>
        <w:t xml:space="preserve">It further held that </w:t>
      </w:r>
      <w:r w:rsidR="00BA64F8" w:rsidRPr="00C565E5">
        <w:rPr>
          <w:rStyle w:val="Ninguno"/>
          <w:rFonts w:ascii="Times New Roman" w:hAnsi="Times New Roman" w:cs="Times New Roman"/>
          <w:sz w:val="24"/>
          <w:szCs w:val="24"/>
        </w:rPr>
        <w:t>individuals currently committed</w:t>
      </w:r>
      <w:r w:rsidR="00FD297C">
        <w:rPr>
          <w:rStyle w:val="Ninguno"/>
          <w:rFonts w:ascii="Times New Roman" w:hAnsi="Times New Roman" w:cs="Times New Roman"/>
          <w:sz w:val="24"/>
          <w:szCs w:val="24"/>
        </w:rPr>
        <w:t xml:space="preserve"> would be entitled to a re-hearing, since their orders of commitment may have been made “without consideration of </w:t>
      </w:r>
      <w:r w:rsidR="007A4148">
        <w:rPr>
          <w:rStyle w:val="Ninguno"/>
          <w:rFonts w:ascii="Times New Roman" w:hAnsi="Times New Roman" w:cs="Times New Roman"/>
          <w:sz w:val="24"/>
          <w:szCs w:val="24"/>
        </w:rPr>
        <w:t xml:space="preserve">the crisis </w:t>
      </w:r>
      <w:r w:rsidR="00FD297C">
        <w:rPr>
          <w:rStyle w:val="Ninguno"/>
          <w:rFonts w:ascii="Times New Roman" w:hAnsi="Times New Roman" w:cs="Times New Roman"/>
          <w:sz w:val="24"/>
          <w:szCs w:val="24"/>
        </w:rPr>
        <w:t>currently ravaging the planet.</w:t>
      </w:r>
      <w:r w:rsidR="007A4148">
        <w:rPr>
          <w:rStyle w:val="Ninguno"/>
          <w:rFonts w:ascii="Times New Roman" w:hAnsi="Times New Roman" w:cs="Times New Roman"/>
          <w:sz w:val="24"/>
          <w:szCs w:val="24"/>
        </w:rPr>
        <w:t>”</w:t>
      </w:r>
      <w:r w:rsidR="00FD297C">
        <w:rPr>
          <w:rStyle w:val="Ninguno"/>
          <w:rFonts w:ascii="Times New Roman" w:hAnsi="Times New Roman" w:cs="Times New Roman"/>
          <w:sz w:val="24"/>
          <w:szCs w:val="24"/>
        </w:rPr>
        <w:t xml:space="preserve"> </w:t>
      </w:r>
      <w:r w:rsidR="003F5E16" w:rsidRPr="00FD297C">
        <w:rPr>
          <w:rStyle w:val="Ninguno"/>
          <w:rFonts w:ascii="Times New Roman" w:hAnsi="Times New Roman" w:cs="Times New Roman"/>
          <w:i/>
          <w:sz w:val="24"/>
          <w:szCs w:val="24"/>
        </w:rPr>
        <w:t>Id</w:t>
      </w:r>
      <w:r w:rsidR="00B40282">
        <w:rPr>
          <w:rStyle w:val="Ninguno"/>
          <w:rFonts w:ascii="Times New Roman" w:hAnsi="Times New Roman" w:cs="Times New Roman"/>
          <w:i/>
          <w:sz w:val="24"/>
          <w:szCs w:val="24"/>
        </w:rPr>
        <w:t xml:space="preserve">. </w:t>
      </w:r>
      <w:r w:rsidR="003F5E16">
        <w:rPr>
          <w:rStyle w:val="Ninguno"/>
          <w:rFonts w:ascii="Times New Roman" w:hAnsi="Times New Roman" w:cs="Times New Roman"/>
          <w:sz w:val="24"/>
          <w:szCs w:val="24"/>
        </w:rPr>
        <w:t xml:space="preserve"> </w:t>
      </w:r>
      <w:r w:rsidR="001D214E" w:rsidRPr="00C565E5">
        <w:rPr>
          <w:rStyle w:val="Ninguno"/>
          <w:rFonts w:ascii="Times New Roman" w:hAnsi="Times New Roman" w:cs="Times New Roman"/>
          <w:sz w:val="24"/>
          <w:szCs w:val="24"/>
        </w:rPr>
        <w:t xml:space="preserve">For the reasons set out in more detail below, this decision is applicable to the </w:t>
      </w:r>
      <w:r w:rsidR="00EC0073" w:rsidRPr="00C565E5">
        <w:rPr>
          <w:rStyle w:val="Ninguno"/>
          <w:rFonts w:ascii="Times New Roman" w:hAnsi="Times New Roman" w:cs="Times New Roman"/>
          <w:sz w:val="24"/>
          <w:szCs w:val="24"/>
        </w:rPr>
        <w:t xml:space="preserve">Respondent’s </w:t>
      </w:r>
      <w:r w:rsidR="001D214E" w:rsidRPr="00C565E5">
        <w:rPr>
          <w:rStyle w:val="Ninguno"/>
          <w:rFonts w:ascii="Times New Roman" w:hAnsi="Times New Roman" w:cs="Times New Roman"/>
          <w:sz w:val="24"/>
          <w:szCs w:val="24"/>
        </w:rPr>
        <w:t>cu</w:t>
      </w:r>
      <w:r w:rsidR="00EC0073" w:rsidRPr="00C565E5">
        <w:rPr>
          <w:rStyle w:val="Ninguno"/>
          <w:rFonts w:ascii="Times New Roman" w:hAnsi="Times New Roman" w:cs="Times New Roman"/>
          <w:sz w:val="24"/>
          <w:szCs w:val="24"/>
        </w:rPr>
        <w:t xml:space="preserve">rrent commitment order </w:t>
      </w:r>
      <w:r w:rsidR="001D214E" w:rsidRPr="00C565E5">
        <w:rPr>
          <w:rStyle w:val="Ninguno"/>
          <w:rFonts w:ascii="Times New Roman" w:hAnsi="Times New Roman" w:cs="Times New Roman"/>
          <w:sz w:val="24"/>
          <w:szCs w:val="24"/>
        </w:rPr>
        <w:t xml:space="preserve">and entitles </w:t>
      </w:r>
      <w:r w:rsidR="00EF2BFF">
        <w:rPr>
          <w:rStyle w:val="Ninguno"/>
          <w:rFonts w:ascii="Times New Roman" w:hAnsi="Times New Roman" w:cs="Times New Roman"/>
          <w:sz w:val="24"/>
          <w:szCs w:val="24"/>
        </w:rPr>
        <w:t xml:space="preserve">the Respondent </w:t>
      </w:r>
      <w:r w:rsidR="001D214E" w:rsidRPr="00C565E5">
        <w:rPr>
          <w:rStyle w:val="Ninguno"/>
          <w:rFonts w:ascii="Times New Roman" w:hAnsi="Times New Roman" w:cs="Times New Roman"/>
          <w:sz w:val="24"/>
          <w:szCs w:val="24"/>
        </w:rPr>
        <w:t>to a rehearing on that commitment.</w:t>
      </w:r>
    </w:p>
    <w:p w14:paraId="7906E1F4" w14:textId="3866A6B3" w:rsidR="00920F64" w:rsidRPr="00247CDE" w:rsidRDefault="00920F64" w:rsidP="00247CDE">
      <w:pPr>
        <w:pStyle w:val="NoSpacing"/>
        <w:numPr>
          <w:ilvl w:val="0"/>
          <w:numId w:val="30"/>
        </w:numPr>
        <w:spacing w:line="480" w:lineRule="auto"/>
        <w:rPr>
          <w:rStyle w:val="Ninguno"/>
          <w:rFonts w:ascii="Times New Roman" w:hAnsi="Times New Roman" w:cs="Times New Roman"/>
          <w:i/>
          <w:sz w:val="24"/>
          <w:szCs w:val="24"/>
          <w:u w:val="single"/>
        </w:rPr>
      </w:pPr>
      <w:r w:rsidRPr="00247CDE">
        <w:rPr>
          <w:rStyle w:val="Ninguno"/>
          <w:rFonts w:ascii="Times New Roman" w:hAnsi="Times New Roman" w:cs="Times New Roman"/>
          <w:b/>
          <w:sz w:val="24"/>
          <w:szCs w:val="24"/>
          <w:u w:val="single"/>
        </w:rPr>
        <w:t xml:space="preserve">THE SJC’S RULING IN </w:t>
      </w:r>
      <w:r w:rsidRPr="00247CDE">
        <w:rPr>
          <w:rStyle w:val="Ninguno"/>
          <w:rFonts w:ascii="Times New Roman" w:hAnsi="Times New Roman" w:cs="Times New Roman"/>
          <w:b/>
          <w:i/>
          <w:sz w:val="24"/>
          <w:szCs w:val="24"/>
          <w:u w:val="single"/>
        </w:rPr>
        <w:t>FOSTER I</w:t>
      </w:r>
    </w:p>
    <w:p w14:paraId="3E824F52" w14:textId="5580EFAA" w:rsidR="00C75FDB" w:rsidRPr="00F915DB" w:rsidRDefault="00C93CDD" w:rsidP="00F915DB">
      <w:pPr>
        <w:spacing w:line="480" w:lineRule="auto"/>
        <w:ind w:firstLine="720"/>
        <w:rPr>
          <w:rStyle w:val="Ninguno"/>
        </w:rPr>
      </w:pPr>
      <w:r w:rsidRPr="00F915DB">
        <w:rPr>
          <w:rStyle w:val="Ninguno"/>
        </w:rPr>
        <w:t xml:space="preserve">Following a discussion of federal and state constitutional due process claims on which the </w:t>
      </w:r>
      <w:r w:rsidR="00E94FBD">
        <w:rPr>
          <w:rStyle w:val="Ninguno"/>
        </w:rPr>
        <w:t xml:space="preserve">detained </w:t>
      </w:r>
      <w:r w:rsidRPr="00F915DB">
        <w:rPr>
          <w:rStyle w:val="Ninguno"/>
        </w:rPr>
        <w:t>plaintiffs were denied preliminary injunctive relief on the record before the Court, the SJC</w:t>
      </w:r>
      <w:r w:rsidR="005B5C6C" w:rsidRPr="00F915DB">
        <w:rPr>
          <w:rStyle w:val="Ninguno"/>
        </w:rPr>
        <w:t xml:space="preserve"> </w:t>
      </w:r>
      <w:r w:rsidRPr="00F915DB">
        <w:rPr>
          <w:rStyle w:val="Ninguno"/>
        </w:rPr>
        <w:t xml:space="preserve">nevertheless </w:t>
      </w:r>
      <w:r w:rsidR="005B5C6C" w:rsidRPr="00F915DB">
        <w:rPr>
          <w:rStyle w:val="Ninguno"/>
        </w:rPr>
        <w:t>exercised its supervisory powers under G</w:t>
      </w:r>
      <w:r w:rsidR="001D214E" w:rsidRPr="00F915DB">
        <w:rPr>
          <w:rStyle w:val="Ninguno"/>
        </w:rPr>
        <w:t>.L</w:t>
      </w:r>
      <w:r w:rsidR="005B5C6C" w:rsidRPr="00F915DB">
        <w:rPr>
          <w:rStyle w:val="Ninguno"/>
        </w:rPr>
        <w:t>. c. 211</w:t>
      </w:r>
      <w:r w:rsidRPr="00F915DB">
        <w:rPr>
          <w:rStyle w:val="Ninguno"/>
        </w:rPr>
        <w:t xml:space="preserve">, § </w:t>
      </w:r>
      <w:r w:rsidR="005B5C6C" w:rsidRPr="00F915DB">
        <w:rPr>
          <w:rStyle w:val="Ninguno"/>
        </w:rPr>
        <w:t>3 to require that</w:t>
      </w:r>
      <w:r w:rsidR="00C75FDB" w:rsidRPr="00C565E5">
        <w:rPr>
          <w:rStyle w:val="Ninguno"/>
        </w:rPr>
        <w:t>,</w:t>
      </w:r>
      <w:r w:rsidR="005B5C6C" w:rsidRPr="00F915DB">
        <w:rPr>
          <w:rStyle w:val="Ninguno"/>
        </w:rPr>
        <w:t xml:space="preserve"> </w:t>
      </w:r>
    </w:p>
    <w:p w14:paraId="5E49968E" w14:textId="15F3CECE" w:rsidR="00C75FDB" w:rsidRPr="00C565E5" w:rsidRDefault="00C75FDB" w:rsidP="00F915DB">
      <w:pPr>
        <w:ind w:left="720"/>
        <w:rPr>
          <w:rFonts w:eastAsia="Times New Roman"/>
          <w:bdr w:val="none" w:sz="0" w:space="0" w:color="auto"/>
        </w:rPr>
      </w:pPr>
      <w:r w:rsidRPr="00F915DB">
        <w:rPr>
          <w:rFonts w:eastAsia="Times New Roman"/>
          <w:color w:val="000000"/>
          <w:bdr w:val="none" w:sz="0" w:space="0" w:color="auto"/>
          <w:shd w:val="clear" w:color="auto" w:fill="FFFFFF"/>
        </w:rPr>
        <w:t>Going forward, a judge shall not commit an individual under G. L. c. 123, § 35, unless the judge finds that the danger posed by the individual's substance use disorder outweighs the risk of transmission of COVID-19 in congregate settings. “Given the high risk posed by COVID-19 for people who are more than sixty years of age or who suffer from a high-risk condition as defined by the CDC, the age and health of [the individual] should be factored into [the] determination.” </w:t>
      </w:r>
      <w:r w:rsidRPr="00F915DB">
        <w:rPr>
          <w:rFonts w:eastAsia="Times New Roman"/>
          <w:color w:val="000000"/>
          <w:u w:val="single"/>
          <w:bdr w:val="none" w:sz="0" w:space="0" w:color="auto"/>
          <w:shd w:val="clear" w:color="auto" w:fill="FFFFFF"/>
        </w:rPr>
        <w:t>CPCS</w:t>
      </w:r>
      <w:r w:rsidRPr="00F915DB">
        <w:rPr>
          <w:rFonts w:eastAsia="Times New Roman"/>
          <w:color w:val="000000"/>
          <w:bdr w:val="none" w:sz="0" w:space="0" w:color="auto"/>
          <w:shd w:val="clear" w:color="auto" w:fill="FFFFFF"/>
        </w:rPr>
        <w:t> v. </w:t>
      </w:r>
      <w:r w:rsidRPr="00F915DB">
        <w:rPr>
          <w:rFonts w:eastAsia="Times New Roman"/>
          <w:color w:val="000000"/>
          <w:u w:val="single"/>
          <w:bdr w:val="none" w:sz="0" w:space="0" w:color="auto"/>
          <w:shd w:val="clear" w:color="auto" w:fill="FFFFFF"/>
        </w:rPr>
        <w:t>Trial Court</w:t>
      </w:r>
      <w:r w:rsidRPr="00F915DB">
        <w:rPr>
          <w:rFonts w:eastAsia="Times New Roman"/>
          <w:color w:val="000000"/>
          <w:bdr w:val="none" w:sz="0" w:space="0" w:color="auto"/>
          <w:shd w:val="clear" w:color="auto" w:fill="FFFFFF"/>
        </w:rPr>
        <w:t>, 484 Mass. at 449, 142 N.E.3d 525. Additionally, the judge must find that commitment is necessary notwithstanding the treatment limitations imposed by quarantine protocols. A judge's findings may be made in writing or orally on the record. These requirements will remain in effect for the duration of the COVID-19 state of emergency, unless altered by further order of this court. These are additional, temporary requirements beyond those imposed by G. L. c. 123, § 35, due process principles, and any other applicable law. See </w:t>
      </w:r>
      <w:r w:rsidRPr="00F915DB">
        <w:rPr>
          <w:rFonts w:eastAsia="Times New Roman"/>
          <w:color w:val="000000"/>
          <w:u w:val="single"/>
          <w:bdr w:val="none" w:sz="0" w:space="0" w:color="auto"/>
          <w:shd w:val="clear" w:color="auto" w:fill="FFFFFF"/>
        </w:rPr>
        <w:t>Matter of a Minor</w:t>
      </w:r>
      <w:r w:rsidRPr="00F915DB">
        <w:rPr>
          <w:rFonts w:eastAsia="Times New Roman"/>
          <w:color w:val="000000"/>
          <w:bdr w:val="none" w:sz="0" w:space="0" w:color="auto"/>
          <w:shd w:val="clear" w:color="auto" w:fill="FFFFFF"/>
        </w:rPr>
        <w:t>, 484 Mass. at 307-310, ––– N.E.3d ––––; </w:t>
      </w:r>
      <w:r w:rsidRPr="00F915DB">
        <w:rPr>
          <w:rFonts w:eastAsia="Times New Roman"/>
          <w:color w:val="000000"/>
          <w:u w:val="single"/>
          <w:bdr w:val="none" w:sz="0" w:space="0" w:color="auto"/>
          <w:shd w:val="clear" w:color="auto" w:fill="FFFFFF"/>
        </w:rPr>
        <w:t>Matter of G.P</w:t>
      </w:r>
      <w:r w:rsidRPr="00F915DB">
        <w:rPr>
          <w:rFonts w:eastAsia="Times New Roman"/>
          <w:color w:val="000000"/>
          <w:bdr w:val="none" w:sz="0" w:space="0" w:color="auto"/>
          <w:shd w:val="clear" w:color="auto" w:fill="FFFFFF"/>
        </w:rPr>
        <w:t>., 473 Mass. at 120-122, 124-129, 40 N.E.3d 989.</w:t>
      </w:r>
      <w:r w:rsidRPr="00F915DB">
        <w:rPr>
          <w:rFonts w:eastAsia="Times New Roman"/>
          <w:color w:val="000000"/>
          <w:bdr w:val="none" w:sz="0" w:space="0" w:color="auto"/>
        </w:rPr>
        <w:br/>
      </w:r>
    </w:p>
    <w:p w14:paraId="70E1C2DF" w14:textId="65AF3C85" w:rsidR="001D214E" w:rsidRPr="00D556A1" w:rsidRDefault="00C75FDB" w:rsidP="00F915D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80" w:lineRule="auto"/>
        <w:rPr>
          <w:rStyle w:val="Ninguno"/>
          <w:rFonts w:eastAsia="Times New Roman"/>
          <w:i/>
          <w:color w:val="000000"/>
          <w:bdr w:val="none" w:sz="0" w:space="0" w:color="auto"/>
        </w:rPr>
      </w:pPr>
      <w:r w:rsidRPr="00D556A1">
        <w:rPr>
          <w:rFonts w:eastAsia="Times New Roman"/>
          <w:i/>
          <w:color w:val="000000"/>
          <w:u w:val="single"/>
          <w:bdr w:val="none" w:sz="0" w:space="0" w:color="auto"/>
        </w:rPr>
        <w:t xml:space="preserve">Foster v. </w:t>
      </w:r>
      <w:proofErr w:type="spellStart"/>
      <w:r w:rsidRPr="00D556A1">
        <w:rPr>
          <w:rFonts w:eastAsia="Times New Roman"/>
          <w:i/>
          <w:color w:val="000000"/>
          <w:u w:val="single"/>
          <w:bdr w:val="none" w:sz="0" w:space="0" w:color="auto"/>
        </w:rPr>
        <w:t>Commr</w:t>
      </w:r>
      <w:proofErr w:type="spellEnd"/>
      <w:r w:rsidRPr="00D556A1">
        <w:rPr>
          <w:rFonts w:eastAsia="Times New Roman"/>
          <w:i/>
          <w:color w:val="000000"/>
          <w:u w:val="single"/>
          <w:bdr w:val="none" w:sz="0" w:space="0" w:color="auto"/>
        </w:rPr>
        <w:t>. of Correction</w:t>
      </w:r>
      <w:r w:rsidRPr="00D556A1">
        <w:rPr>
          <w:rFonts w:eastAsia="Times New Roman"/>
          <w:i/>
          <w:color w:val="000000"/>
          <w:bdr w:val="none" w:sz="0" w:space="0" w:color="auto"/>
        </w:rPr>
        <w:t xml:space="preserve">, </w:t>
      </w:r>
      <w:r w:rsidRPr="00D556A1">
        <w:rPr>
          <w:rFonts w:eastAsia="Times New Roman"/>
          <w:color w:val="000000"/>
          <w:bdr w:val="none" w:sz="0" w:space="0" w:color="auto"/>
        </w:rPr>
        <w:t>484 Mass. 698 at *21 (2020)</w:t>
      </w:r>
    </w:p>
    <w:p w14:paraId="48AC5635" w14:textId="7E66E76B" w:rsidR="00AE44A6" w:rsidRPr="00C565E5" w:rsidRDefault="00A510A2" w:rsidP="00AE44A6">
      <w:pPr>
        <w:pStyle w:val="NoSpacing"/>
        <w:spacing w:line="480" w:lineRule="auto"/>
        <w:rPr>
          <w:rStyle w:val="Ninguno"/>
          <w:rFonts w:ascii="Times New Roman" w:hAnsi="Times New Roman" w:cs="Times New Roman"/>
          <w:b/>
          <w:i/>
          <w:sz w:val="24"/>
          <w:szCs w:val="24"/>
        </w:rPr>
      </w:pPr>
      <w:r w:rsidRPr="00C565E5">
        <w:rPr>
          <w:rStyle w:val="Ninguno"/>
          <w:rFonts w:ascii="Times New Roman" w:hAnsi="Times New Roman" w:cs="Times New Roman"/>
          <w:sz w:val="24"/>
          <w:szCs w:val="24"/>
        </w:rPr>
        <w:t xml:space="preserve"> </w:t>
      </w:r>
      <w:r w:rsidR="00BE6DF0" w:rsidRPr="00C565E5">
        <w:rPr>
          <w:rStyle w:val="Ninguno"/>
          <w:rFonts w:ascii="Times New Roman" w:hAnsi="Times New Roman" w:cs="Times New Roman"/>
          <w:sz w:val="24"/>
          <w:szCs w:val="24"/>
        </w:rPr>
        <w:tab/>
      </w:r>
      <w:r w:rsidRPr="00C565E5">
        <w:rPr>
          <w:rStyle w:val="Ninguno"/>
          <w:rFonts w:ascii="Times New Roman" w:hAnsi="Times New Roman" w:cs="Times New Roman"/>
          <w:sz w:val="24"/>
          <w:szCs w:val="24"/>
        </w:rPr>
        <w:t>Relevant to</w:t>
      </w:r>
      <w:r w:rsidR="00D42BEC">
        <w:rPr>
          <w:rStyle w:val="Ninguno"/>
          <w:rFonts w:ascii="Times New Roman" w:hAnsi="Times New Roman" w:cs="Times New Roman"/>
          <w:sz w:val="24"/>
          <w:szCs w:val="24"/>
        </w:rPr>
        <w:t xml:space="preserve"> the</w:t>
      </w:r>
      <w:r w:rsidR="00DD1A47" w:rsidRPr="00C565E5">
        <w:rPr>
          <w:rStyle w:val="Ninguno"/>
          <w:rFonts w:ascii="Times New Roman" w:hAnsi="Times New Roman" w:cs="Times New Roman"/>
          <w:sz w:val="24"/>
          <w:szCs w:val="24"/>
        </w:rPr>
        <w:t xml:space="preserve"> within </w:t>
      </w:r>
      <w:r w:rsidR="00AB04C4" w:rsidRPr="00C565E5">
        <w:rPr>
          <w:rStyle w:val="Ninguno"/>
          <w:rFonts w:ascii="Times New Roman" w:hAnsi="Times New Roman" w:cs="Times New Roman"/>
          <w:sz w:val="24"/>
          <w:szCs w:val="24"/>
        </w:rPr>
        <w:t xml:space="preserve">motion, </w:t>
      </w:r>
      <w:r w:rsidR="00AA503D" w:rsidRPr="00C565E5">
        <w:rPr>
          <w:rStyle w:val="Ninguno"/>
          <w:rFonts w:ascii="Times New Roman" w:hAnsi="Times New Roman" w:cs="Times New Roman"/>
          <w:sz w:val="24"/>
          <w:szCs w:val="24"/>
        </w:rPr>
        <w:t>the SJC determined that "current orders of commitment may have been made without consideration of the crisis currently ravaging the planet."</w:t>
      </w:r>
      <w:r w:rsidR="007C4ACF" w:rsidRPr="00C565E5">
        <w:rPr>
          <w:rStyle w:val="Ninguno"/>
          <w:rFonts w:ascii="Times New Roman" w:hAnsi="Times New Roman" w:cs="Times New Roman"/>
          <w:sz w:val="24"/>
          <w:szCs w:val="24"/>
        </w:rPr>
        <w:t xml:space="preserve"> </w:t>
      </w:r>
      <w:r w:rsidR="00DD1A47" w:rsidRPr="008D6ACA">
        <w:rPr>
          <w:rStyle w:val="Ninguno"/>
          <w:rFonts w:ascii="Times New Roman" w:hAnsi="Times New Roman" w:cs="Times New Roman"/>
          <w:i/>
          <w:sz w:val="24"/>
          <w:szCs w:val="24"/>
        </w:rPr>
        <w:t>Id</w:t>
      </w:r>
      <w:r w:rsidR="00DD1A47" w:rsidRPr="00D42BEC">
        <w:rPr>
          <w:rStyle w:val="Ninguno"/>
          <w:rFonts w:ascii="Times New Roman" w:hAnsi="Times New Roman" w:cs="Times New Roman"/>
          <w:i/>
          <w:sz w:val="24"/>
          <w:szCs w:val="24"/>
        </w:rPr>
        <w:t>.</w:t>
      </w:r>
      <w:r w:rsidR="00DD1A47" w:rsidRPr="00D42BEC">
        <w:rPr>
          <w:rStyle w:val="Ninguno"/>
          <w:rFonts w:ascii="Times New Roman" w:hAnsi="Times New Roman" w:cs="Times New Roman"/>
          <w:sz w:val="24"/>
          <w:szCs w:val="24"/>
        </w:rPr>
        <w:t xml:space="preserve">  </w:t>
      </w:r>
      <w:r w:rsidR="00DD1A47" w:rsidRPr="00C565E5">
        <w:rPr>
          <w:rStyle w:val="Ninguno"/>
          <w:rFonts w:ascii="Times New Roman" w:hAnsi="Times New Roman" w:cs="Times New Roman"/>
          <w:sz w:val="24"/>
          <w:szCs w:val="24"/>
        </w:rPr>
        <w:t xml:space="preserve">With </w:t>
      </w:r>
      <w:r w:rsidR="00DD1A47" w:rsidRPr="00C565E5">
        <w:rPr>
          <w:rStyle w:val="Ninguno"/>
          <w:rFonts w:ascii="Times New Roman" w:hAnsi="Times New Roman" w:cs="Times New Roman"/>
          <w:sz w:val="24"/>
          <w:szCs w:val="24"/>
        </w:rPr>
        <w:lastRenderedPageBreak/>
        <w:t xml:space="preserve">regard to those currently committed, it </w:t>
      </w:r>
      <w:r w:rsidR="003172E8" w:rsidRPr="00C565E5">
        <w:rPr>
          <w:rStyle w:val="Ninguno"/>
          <w:rFonts w:ascii="Times New Roman" w:hAnsi="Times New Roman" w:cs="Times New Roman"/>
          <w:sz w:val="24"/>
          <w:szCs w:val="24"/>
        </w:rPr>
        <w:t>held that</w:t>
      </w:r>
      <w:r w:rsidR="00AA503D" w:rsidRPr="00C565E5">
        <w:rPr>
          <w:rStyle w:val="Ninguno"/>
          <w:rFonts w:ascii="Times New Roman" w:hAnsi="Times New Roman" w:cs="Times New Roman"/>
          <w:sz w:val="24"/>
          <w:szCs w:val="24"/>
        </w:rPr>
        <w:t xml:space="preserve"> the risks of COVID-19 transmission constitute </w:t>
      </w:r>
      <w:r w:rsidR="003172E8" w:rsidRPr="00C565E5">
        <w:rPr>
          <w:rStyle w:val="Ninguno"/>
          <w:rFonts w:ascii="Times New Roman" w:hAnsi="Times New Roman" w:cs="Times New Roman"/>
          <w:sz w:val="24"/>
          <w:szCs w:val="24"/>
        </w:rPr>
        <w:t>“</w:t>
      </w:r>
      <w:r w:rsidR="00AA503D" w:rsidRPr="00C565E5">
        <w:rPr>
          <w:rStyle w:val="Ninguno"/>
          <w:rFonts w:ascii="Times New Roman" w:hAnsi="Times New Roman" w:cs="Times New Roman"/>
          <w:sz w:val="24"/>
          <w:szCs w:val="24"/>
        </w:rPr>
        <w:t xml:space="preserve">a material change in circumstances with regard to any order of commitment currently in effect" </w:t>
      </w:r>
      <w:r w:rsidR="003172E8" w:rsidRPr="00C565E5">
        <w:rPr>
          <w:rStyle w:val="Ninguno"/>
          <w:rFonts w:ascii="Times New Roman" w:hAnsi="Times New Roman" w:cs="Times New Roman"/>
          <w:sz w:val="24"/>
          <w:szCs w:val="24"/>
        </w:rPr>
        <w:t>and that “</w:t>
      </w:r>
      <w:r w:rsidR="00AA503D" w:rsidRPr="00C565E5">
        <w:rPr>
          <w:rStyle w:val="Ninguno"/>
          <w:rFonts w:ascii="Times New Roman" w:hAnsi="Times New Roman" w:cs="Times New Roman"/>
          <w:sz w:val="24"/>
          <w:szCs w:val="24"/>
        </w:rPr>
        <w:t xml:space="preserve">individuals committed pursuant to G. L. c. 123, § 35, at the time of the issuance of the slip opinion in this case may file a motion for reconsideration of the commitment order." </w:t>
      </w:r>
      <w:r w:rsidR="00DD1A47" w:rsidRPr="00F0226F">
        <w:rPr>
          <w:rStyle w:val="Ninguno"/>
          <w:rFonts w:ascii="Times New Roman" w:hAnsi="Times New Roman" w:cs="Times New Roman"/>
          <w:i/>
          <w:sz w:val="24"/>
          <w:szCs w:val="24"/>
        </w:rPr>
        <w:t>Id</w:t>
      </w:r>
      <w:r w:rsidR="00DD1A47" w:rsidRPr="008D6ACA">
        <w:rPr>
          <w:rStyle w:val="Ninguno"/>
          <w:rFonts w:ascii="Times New Roman" w:hAnsi="Times New Roman" w:cs="Times New Roman"/>
          <w:i/>
          <w:sz w:val="24"/>
          <w:szCs w:val="24"/>
          <w:u w:val="single"/>
        </w:rPr>
        <w:t>.</w:t>
      </w:r>
      <w:r w:rsidR="001156D7" w:rsidRPr="008D6ACA">
        <w:rPr>
          <w:rStyle w:val="Ninguno"/>
          <w:rFonts w:ascii="Times New Roman" w:hAnsi="Times New Roman" w:cs="Times New Roman"/>
          <w:i/>
          <w:sz w:val="24"/>
          <w:szCs w:val="24"/>
        </w:rPr>
        <w:t xml:space="preserve">  </w:t>
      </w:r>
      <w:r w:rsidR="001156D7" w:rsidRPr="00C565E5">
        <w:rPr>
          <w:rStyle w:val="Ninguno"/>
          <w:rFonts w:ascii="Times New Roman" w:hAnsi="Times New Roman" w:cs="Times New Roman"/>
          <w:sz w:val="24"/>
          <w:szCs w:val="24"/>
        </w:rPr>
        <w:t xml:space="preserve">When such motions for reconsideration are filed, the SJC held that </w:t>
      </w:r>
      <w:r w:rsidR="00AA503D" w:rsidRPr="00C565E5">
        <w:rPr>
          <w:rStyle w:val="Ninguno"/>
          <w:rFonts w:ascii="Times New Roman" w:hAnsi="Times New Roman" w:cs="Times New Roman"/>
          <w:sz w:val="24"/>
          <w:szCs w:val="24"/>
        </w:rPr>
        <w:t xml:space="preserve">"hearings shall take place by videoconference or teleconference no later than two business days after the filing of the motion," and a "decision on the motion shall be rendered promptly." </w:t>
      </w:r>
      <w:r w:rsidR="00AA503D" w:rsidRPr="00417B06">
        <w:rPr>
          <w:rStyle w:val="Ninguno"/>
          <w:rFonts w:ascii="Times New Roman" w:hAnsi="Times New Roman" w:cs="Times New Roman"/>
          <w:i/>
          <w:sz w:val="24"/>
          <w:szCs w:val="24"/>
        </w:rPr>
        <w:t>Id.</w:t>
      </w:r>
      <w:r w:rsidR="00AA503D" w:rsidRPr="00C565E5">
        <w:rPr>
          <w:rStyle w:val="Ninguno"/>
          <w:rFonts w:ascii="Times New Roman" w:hAnsi="Times New Roman" w:cs="Times New Roman"/>
          <w:sz w:val="24"/>
          <w:szCs w:val="24"/>
        </w:rPr>
        <w:t xml:space="preserve"> </w:t>
      </w:r>
    </w:p>
    <w:p w14:paraId="1182AE57" w14:textId="15A1DB9A" w:rsidR="00431586" w:rsidRPr="00247CDE" w:rsidRDefault="00431586" w:rsidP="00247CDE">
      <w:pPr>
        <w:pStyle w:val="NoSpacing"/>
        <w:numPr>
          <w:ilvl w:val="0"/>
          <w:numId w:val="30"/>
        </w:numPr>
        <w:spacing w:line="480" w:lineRule="auto"/>
        <w:rPr>
          <w:rStyle w:val="Ninguno"/>
          <w:rFonts w:ascii="Times New Roman" w:hAnsi="Times New Roman" w:cs="Times New Roman"/>
          <w:b/>
          <w:sz w:val="24"/>
          <w:szCs w:val="24"/>
          <w:u w:val="single"/>
        </w:rPr>
      </w:pPr>
      <w:proofErr w:type="gramStart"/>
      <w:r w:rsidRPr="00247CDE">
        <w:rPr>
          <w:rStyle w:val="Ninguno"/>
          <w:rFonts w:ascii="Times New Roman" w:hAnsi="Times New Roman" w:cs="Times New Roman"/>
          <w:b/>
          <w:i/>
          <w:sz w:val="24"/>
          <w:szCs w:val="24"/>
          <w:u w:val="single"/>
        </w:rPr>
        <w:t>FOSTER</w:t>
      </w:r>
      <w:proofErr w:type="gramEnd"/>
      <w:r w:rsidRPr="00247CDE">
        <w:rPr>
          <w:rStyle w:val="Ninguno"/>
          <w:rFonts w:ascii="Times New Roman" w:hAnsi="Times New Roman" w:cs="Times New Roman"/>
          <w:b/>
          <w:sz w:val="24"/>
          <w:szCs w:val="24"/>
          <w:u w:val="single"/>
        </w:rPr>
        <w:t xml:space="preserve"> </w:t>
      </w:r>
      <w:r w:rsidR="00444E7D" w:rsidRPr="00247CDE">
        <w:rPr>
          <w:rStyle w:val="Ninguno"/>
          <w:rFonts w:ascii="Times New Roman" w:hAnsi="Times New Roman" w:cs="Times New Roman"/>
          <w:b/>
          <w:i/>
          <w:sz w:val="24"/>
          <w:szCs w:val="24"/>
          <w:u w:val="single"/>
        </w:rPr>
        <w:t>I</w:t>
      </w:r>
      <w:r w:rsidR="00444E7D" w:rsidRPr="00247CDE">
        <w:rPr>
          <w:rStyle w:val="Ninguno"/>
          <w:rFonts w:ascii="Times New Roman" w:hAnsi="Times New Roman" w:cs="Times New Roman"/>
          <w:b/>
          <w:sz w:val="24"/>
          <w:szCs w:val="24"/>
          <w:u w:val="single"/>
        </w:rPr>
        <w:t xml:space="preserve"> </w:t>
      </w:r>
      <w:r w:rsidRPr="00247CDE">
        <w:rPr>
          <w:rStyle w:val="Ninguno"/>
          <w:rFonts w:ascii="Times New Roman" w:hAnsi="Times New Roman" w:cs="Times New Roman"/>
          <w:b/>
          <w:sz w:val="24"/>
          <w:szCs w:val="24"/>
          <w:u w:val="single"/>
        </w:rPr>
        <w:t>APPLIES TO CIVIL COMMITMENTS FOR MENTAL ILLNESS</w:t>
      </w:r>
    </w:p>
    <w:p w14:paraId="516D3DBB" w14:textId="7A5C0E42" w:rsidR="00DE0068" w:rsidRPr="00C302DA" w:rsidRDefault="005B71BA" w:rsidP="00C302DA">
      <w:pPr>
        <w:pStyle w:val="NoSpacing"/>
        <w:spacing w:line="480" w:lineRule="auto"/>
        <w:ind w:firstLine="720"/>
        <w:rPr>
          <w:rStyle w:val="Ninguno"/>
          <w:rFonts w:ascii="Times New Roman" w:hAnsi="Times New Roman" w:cs="Times New Roman"/>
        </w:rPr>
      </w:pPr>
      <w:r w:rsidRPr="00C565E5">
        <w:rPr>
          <w:rStyle w:val="Ninguno"/>
          <w:rFonts w:ascii="Times New Roman" w:hAnsi="Times New Roman" w:cs="Times New Roman"/>
          <w:sz w:val="24"/>
          <w:szCs w:val="24"/>
        </w:rPr>
        <w:t>T</w:t>
      </w:r>
      <w:r w:rsidR="00FE0594" w:rsidRPr="00C565E5">
        <w:rPr>
          <w:rStyle w:val="Ninguno"/>
          <w:rFonts w:ascii="Times New Roman" w:hAnsi="Times New Roman" w:cs="Times New Roman"/>
          <w:sz w:val="24"/>
          <w:szCs w:val="24"/>
        </w:rPr>
        <w:t xml:space="preserve">he </w:t>
      </w:r>
      <w:r w:rsidR="009B449E" w:rsidRPr="00C565E5">
        <w:rPr>
          <w:rStyle w:val="Ninguno"/>
          <w:rFonts w:ascii="Times New Roman" w:hAnsi="Times New Roman" w:cs="Times New Roman"/>
          <w:sz w:val="24"/>
          <w:szCs w:val="24"/>
        </w:rPr>
        <w:t xml:space="preserve">class action and requests for preliminary injunction </w:t>
      </w:r>
      <w:r w:rsidRPr="00C565E5">
        <w:rPr>
          <w:rStyle w:val="Ninguno"/>
          <w:rFonts w:ascii="Times New Roman" w:hAnsi="Times New Roman" w:cs="Times New Roman"/>
          <w:sz w:val="24"/>
          <w:szCs w:val="24"/>
        </w:rPr>
        <w:t xml:space="preserve">in </w:t>
      </w:r>
      <w:r w:rsidRPr="00C565E5">
        <w:rPr>
          <w:rStyle w:val="Ninguno"/>
          <w:rFonts w:ascii="Times New Roman" w:hAnsi="Times New Roman" w:cs="Times New Roman"/>
          <w:i/>
          <w:sz w:val="24"/>
          <w:szCs w:val="24"/>
        </w:rPr>
        <w:t>Foster</w:t>
      </w:r>
      <w:r w:rsidR="00534936" w:rsidRPr="00C565E5">
        <w:rPr>
          <w:rStyle w:val="Ninguno"/>
          <w:rFonts w:ascii="Times New Roman" w:hAnsi="Times New Roman" w:cs="Times New Roman"/>
          <w:i/>
          <w:sz w:val="24"/>
          <w:szCs w:val="24"/>
        </w:rPr>
        <w:t xml:space="preserve"> I</w:t>
      </w:r>
      <w:r w:rsidRPr="00C565E5">
        <w:rPr>
          <w:rStyle w:val="Ninguno"/>
          <w:rFonts w:ascii="Times New Roman" w:hAnsi="Times New Roman" w:cs="Times New Roman"/>
          <w:sz w:val="24"/>
          <w:szCs w:val="24"/>
        </w:rPr>
        <w:t xml:space="preserve"> were </w:t>
      </w:r>
      <w:r w:rsidR="009B449E" w:rsidRPr="00C565E5">
        <w:rPr>
          <w:rStyle w:val="Ninguno"/>
          <w:rFonts w:ascii="Times New Roman" w:hAnsi="Times New Roman" w:cs="Times New Roman"/>
          <w:sz w:val="24"/>
          <w:szCs w:val="24"/>
        </w:rPr>
        <w:t>brought on behalf of people in prisons and jails</w:t>
      </w:r>
      <w:r w:rsidR="00EE5C5F">
        <w:rPr>
          <w:rStyle w:val="Ninguno"/>
          <w:rFonts w:ascii="Times New Roman" w:hAnsi="Times New Roman" w:cs="Times New Roman"/>
          <w:sz w:val="24"/>
          <w:szCs w:val="24"/>
        </w:rPr>
        <w:t>.  Therefore</w:t>
      </w:r>
      <w:r w:rsidR="00586165">
        <w:rPr>
          <w:rStyle w:val="Ninguno"/>
          <w:rFonts w:ascii="Times New Roman" w:hAnsi="Times New Roman" w:cs="Times New Roman"/>
          <w:sz w:val="24"/>
          <w:szCs w:val="24"/>
        </w:rPr>
        <w:t>,</w:t>
      </w:r>
      <w:r w:rsidR="00EE5C5F">
        <w:rPr>
          <w:rStyle w:val="Ninguno"/>
          <w:rFonts w:ascii="Times New Roman" w:hAnsi="Times New Roman" w:cs="Times New Roman"/>
          <w:sz w:val="24"/>
          <w:szCs w:val="24"/>
        </w:rPr>
        <w:t xml:space="preserve"> </w:t>
      </w:r>
      <w:r w:rsidR="009B449E" w:rsidRPr="00C565E5">
        <w:rPr>
          <w:rStyle w:val="Ninguno"/>
          <w:rFonts w:ascii="Times New Roman" w:hAnsi="Times New Roman" w:cs="Times New Roman"/>
          <w:sz w:val="24"/>
          <w:szCs w:val="24"/>
        </w:rPr>
        <w:t xml:space="preserve">the </w:t>
      </w:r>
      <w:r w:rsidR="00EF1108">
        <w:rPr>
          <w:rStyle w:val="Ninguno"/>
          <w:rFonts w:ascii="Times New Roman" w:hAnsi="Times New Roman" w:cs="Times New Roman"/>
          <w:sz w:val="24"/>
          <w:szCs w:val="24"/>
        </w:rPr>
        <w:t xml:space="preserve">civilly committed </w:t>
      </w:r>
      <w:r w:rsidR="009B449E" w:rsidRPr="00C565E5">
        <w:rPr>
          <w:rStyle w:val="Ninguno"/>
          <w:rFonts w:ascii="Times New Roman" w:hAnsi="Times New Roman" w:cs="Times New Roman"/>
          <w:sz w:val="24"/>
          <w:szCs w:val="24"/>
        </w:rPr>
        <w:t xml:space="preserve">plaintiffs in the case were those who had been committed to such facilities under </w:t>
      </w:r>
      <w:r w:rsidR="00EE5C5F">
        <w:rPr>
          <w:rStyle w:val="Ninguno"/>
          <w:rFonts w:ascii="Times New Roman" w:hAnsi="Times New Roman" w:cs="Times New Roman"/>
          <w:sz w:val="24"/>
          <w:szCs w:val="24"/>
        </w:rPr>
        <w:t xml:space="preserve">G.L. c. 123, </w:t>
      </w:r>
      <w:r w:rsidR="00EE5C5F" w:rsidRPr="00C565E5">
        <w:rPr>
          <w:rStyle w:val="Ninguno"/>
          <w:rFonts w:ascii="Times New Roman" w:hAnsi="Times New Roman" w:cs="Times New Roman"/>
        </w:rPr>
        <w:t>§</w:t>
      </w:r>
      <w:r w:rsidR="00EE5C5F">
        <w:rPr>
          <w:rStyle w:val="Ninguno"/>
          <w:rFonts w:ascii="Times New Roman" w:hAnsi="Times New Roman" w:cs="Times New Roman"/>
          <w:sz w:val="24"/>
          <w:szCs w:val="24"/>
        </w:rPr>
        <w:t xml:space="preserve"> </w:t>
      </w:r>
      <w:r w:rsidR="009B449E" w:rsidRPr="00C565E5">
        <w:rPr>
          <w:rStyle w:val="Ninguno"/>
          <w:rFonts w:ascii="Times New Roman" w:hAnsi="Times New Roman" w:cs="Times New Roman"/>
          <w:sz w:val="24"/>
          <w:szCs w:val="24"/>
        </w:rPr>
        <w:t>35</w:t>
      </w:r>
      <w:r w:rsidRPr="00C565E5">
        <w:rPr>
          <w:rStyle w:val="Ninguno"/>
          <w:rFonts w:ascii="Times New Roman" w:hAnsi="Times New Roman" w:cs="Times New Roman"/>
          <w:sz w:val="24"/>
          <w:szCs w:val="24"/>
        </w:rPr>
        <w:t>.  However</w:t>
      </w:r>
      <w:r w:rsidR="009B449E" w:rsidRPr="00C565E5">
        <w:rPr>
          <w:rStyle w:val="Ninguno"/>
          <w:rFonts w:ascii="Times New Roman" w:hAnsi="Times New Roman" w:cs="Times New Roman"/>
          <w:sz w:val="24"/>
          <w:szCs w:val="24"/>
        </w:rPr>
        <w:t xml:space="preserve">, </w:t>
      </w:r>
      <w:r w:rsidR="00FE0594" w:rsidRPr="00C565E5">
        <w:rPr>
          <w:rStyle w:val="Ninguno"/>
          <w:rFonts w:ascii="Times New Roman" w:hAnsi="Times New Roman" w:cs="Times New Roman"/>
          <w:sz w:val="24"/>
          <w:szCs w:val="24"/>
        </w:rPr>
        <w:t xml:space="preserve">the </w:t>
      </w:r>
      <w:r w:rsidR="00D73D76" w:rsidRPr="00C565E5">
        <w:rPr>
          <w:rStyle w:val="Ninguno"/>
          <w:rFonts w:ascii="Times New Roman" w:hAnsi="Times New Roman" w:cs="Times New Roman"/>
          <w:sz w:val="24"/>
          <w:szCs w:val="24"/>
        </w:rPr>
        <w:t>concerns driving</w:t>
      </w:r>
      <w:r w:rsidRPr="00C565E5">
        <w:rPr>
          <w:rStyle w:val="Ninguno"/>
          <w:rFonts w:ascii="Times New Roman" w:hAnsi="Times New Roman" w:cs="Times New Roman"/>
          <w:sz w:val="24"/>
          <w:szCs w:val="24"/>
        </w:rPr>
        <w:t xml:space="preserve"> the Court</w:t>
      </w:r>
      <w:r w:rsidR="00D73D76" w:rsidRPr="00C565E5">
        <w:rPr>
          <w:rStyle w:val="Ninguno"/>
          <w:rFonts w:ascii="Times New Roman" w:hAnsi="Times New Roman" w:cs="Times New Roman"/>
          <w:sz w:val="24"/>
          <w:szCs w:val="24"/>
        </w:rPr>
        <w:t xml:space="preserve">’s </w:t>
      </w:r>
      <w:r w:rsidRPr="00C565E5">
        <w:rPr>
          <w:rStyle w:val="Ninguno"/>
          <w:rFonts w:ascii="Times New Roman" w:hAnsi="Times New Roman" w:cs="Times New Roman"/>
          <w:sz w:val="24"/>
          <w:szCs w:val="24"/>
        </w:rPr>
        <w:t xml:space="preserve">exercise </w:t>
      </w:r>
      <w:r w:rsidR="00D73D76" w:rsidRPr="00C565E5">
        <w:rPr>
          <w:rStyle w:val="Ninguno"/>
          <w:rFonts w:ascii="Times New Roman" w:hAnsi="Times New Roman" w:cs="Times New Roman"/>
          <w:sz w:val="24"/>
          <w:szCs w:val="24"/>
        </w:rPr>
        <w:t xml:space="preserve">of </w:t>
      </w:r>
      <w:r w:rsidR="009B449E" w:rsidRPr="00C565E5">
        <w:rPr>
          <w:rStyle w:val="Ninguno"/>
          <w:rFonts w:ascii="Times New Roman" w:hAnsi="Times New Roman" w:cs="Times New Roman"/>
          <w:sz w:val="24"/>
          <w:szCs w:val="24"/>
        </w:rPr>
        <w:t xml:space="preserve">its supervisory powers </w:t>
      </w:r>
      <w:r w:rsidRPr="00C565E5">
        <w:rPr>
          <w:rStyle w:val="Ninguno"/>
          <w:rFonts w:ascii="Times New Roman" w:hAnsi="Times New Roman" w:cs="Times New Roman"/>
          <w:sz w:val="24"/>
          <w:szCs w:val="24"/>
        </w:rPr>
        <w:t xml:space="preserve">extend to those </w:t>
      </w:r>
      <w:r w:rsidR="00D73D76" w:rsidRPr="00C565E5">
        <w:rPr>
          <w:rStyle w:val="Ninguno"/>
          <w:rFonts w:ascii="Times New Roman" w:hAnsi="Times New Roman" w:cs="Times New Roman"/>
          <w:sz w:val="24"/>
          <w:szCs w:val="24"/>
        </w:rPr>
        <w:t xml:space="preserve">who are </w:t>
      </w:r>
      <w:r w:rsidRPr="00C565E5">
        <w:rPr>
          <w:rStyle w:val="Ninguno"/>
          <w:rFonts w:ascii="Times New Roman" w:hAnsi="Times New Roman" w:cs="Times New Roman"/>
          <w:sz w:val="24"/>
          <w:szCs w:val="24"/>
        </w:rPr>
        <w:t xml:space="preserve">similarly </w:t>
      </w:r>
      <w:r w:rsidR="00FE0594" w:rsidRPr="00C565E5">
        <w:rPr>
          <w:rStyle w:val="Ninguno"/>
          <w:rFonts w:ascii="Times New Roman" w:hAnsi="Times New Roman" w:cs="Times New Roman"/>
          <w:sz w:val="24"/>
          <w:szCs w:val="24"/>
        </w:rPr>
        <w:t>committed</w:t>
      </w:r>
      <w:r w:rsidRPr="00C565E5">
        <w:rPr>
          <w:rStyle w:val="Ninguno"/>
          <w:rFonts w:ascii="Times New Roman" w:hAnsi="Times New Roman" w:cs="Times New Roman"/>
          <w:sz w:val="24"/>
          <w:szCs w:val="24"/>
        </w:rPr>
        <w:t xml:space="preserve"> to locked cong</w:t>
      </w:r>
      <w:r w:rsidR="00EF1108">
        <w:rPr>
          <w:rStyle w:val="Ninguno"/>
          <w:rFonts w:ascii="Times New Roman" w:hAnsi="Times New Roman" w:cs="Times New Roman"/>
          <w:sz w:val="24"/>
          <w:szCs w:val="24"/>
        </w:rPr>
        <w:t xml:space="preserve">regate facilities </w:t>
      </w:r>
      <w:proofErr w:type="gramStart"/>
      <w:r w:rsidRPr="00C565E5">
        <w:rPr>
          <w:rStyle w:val="Ninguno"/>
          <w:rFonts w:ascii="Times New Roman" w:hAnsi="Times New Roman" w:cs="Times New Roman"/>
          <w:sz w:val="24"/>
          <w:szCs w:val="24"/>
        </w:rPr>
        <w:t>on the basis of</w:t>
      </w:r>
      <w:proofErr w:type="gramEnd"/>
      <w:r w:rsidRPr="00C565E5">
        <w:rPr>
          <w:rStyle w:val="Ninguno"/>
          <w:rFonts w:ascii="Times New Roman" w:hAnsi="Times New Roman" w:cs="Times New Roman"/>
          <w:sz w:val="24"/>
          <w:szCs w:val="24"/>
        </w:rPr>
        <w:t xml:space="preserve"> mental illness.</w:t>
      </w:r>
    </w:p>
    <w:p w14:paraId="3EA8AC09" w14:textId="7E663361" w:rsidR="00EB26E2" w:rsidRPr="007876F3" w:rsidRDefault="00BC02C3" w:rsidP="00F915D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80" w:lineRule="auto"/>
        <w:ind w:firstLine="720"/>
        <w:rPr>
          <w:rStyle w:val="Ninguno"/>
          <w:rFonts w:ascii="Calibri" w:eastAsia="Times New Roman" w:hAnsi="Calibri" w:cs="Arial Unicode MS"/>
          <w:color w:val="000000"/>
          <w:sz w:val="22"/>
          <w:szCs w:val="22"/>
          <w:u w:color="000000"/>
          <w:bdr w:val="none" w:sz="0" w:space="0" w:color="auto"/>
        </w:rPr>
      </w:pPr>
      <w:r w:rsidRPr="00C565E5">
        <w:rPr>
          <w:rStyle w:val="Ninguno"/>
        </w:rPr>
        <w:t>I</w:t>
      </w:r>
      <w:r w:rsidR="008275F6" w:rsidRPr="00C565E5">
        <w:rPr>
          <w:rStyle w:val="Ninguno"/>
        </w:rPr>
        <w:t xml:space="preserve">n commitments under both </w:t>
      </w:r>
      <w:r w:rsidR="00ED6CDD" w:rsidRPr="00C565E5">
        <w:rPr>
          <w:rStyle w:val="Ninguno"/>
        </w:rPr>
        <w:t xml:space="preserve">§ </w:t>
      </w:r>
      <w:r w:rsidR="008275F6" w:rsidRPr="00C565E5">
        <w:rPr>
          <w:rStyle w:val="Ninguno"/>
        </w:rPr>
        <w:t xml:space="preserve">35 and </w:t>
      </w:r>
      <w:r w:rsidR="00ED6CDD" w:rsidRPr="00C565E5">
        <w:rPr>
          <w:rStyle w:val="Ninguno"/>
        </w:rPr>
        <w:t xml:space="preserve">§§ </w:t>
      </w:r>
      <w:r w:rsidR="008275F6" w:rsidRPr="00C565E5">
        <w:rPr>
          <w:rStyle w:val="Ninguno"/>
        </w:rPr>
        <w:t>7/8 and 16</w:t>
      </w:r>
      <w:r w:rsidRPr="00C565E5">
        <w:rPr>
          <w:rStyle w:val="Ninguno"/>
        </w:rPr>
        <w:t xml:space="preserve">, the individual is completely deprived of </w:t>
      </w:r>
      <w:r w:rsidR="00C302DA">
        <w:rPr>
          <w:rStyle w:val="Ninguno"/>
        </w:rPr>
        <w:t>his</w:t>
      </w:r>
      <w:r w:rsidRPr="00C565E5">
        <w:rPr>
          <w:rStyle w:val="Ninguno"/>
        </w:rPr>
        <w:t xml:space="preserve"> liberty and committed to a locked facility.  </w:t>
      </w:r>
      <w:r w:rsidR="008275F6" w:rsidRPr="00C565E5">
        <w:rPr>
          <w:rStyle w:val="Ninguno"/>
        </w:rPr>
        <w:t>In both types of proceedings, t</w:t>
      </w:r>
      <w:r w:rsidRPr="00C565E5">
        <w:rPr>
          <w:rStyle w:val="Ninguno"/>
        </w:rPr>
        <w:t>he purpose of the civil commitment is to address an asserted likelihood of serious harm through treatment</w:t>
      </w:r>
      <w:r w:rsidR="008275F6" w:rsidRPr="00C565E5">
        <w:rPr>
          <w:rStyle w:val="Ninguno"/>
        </w:rPr>
        <w:t xml:space="preserve">.  The Court’s concern with a commitment becoming unconstitutional if little to no treatment is being provided applies equally to both types of commitments. </w:t>
      </w:r>
      <w:r w:rsidR="00C302DA">
        <w:rPr>
          <w:rStyle w:val="Ninguno"/>
        </w:rPr>
        <w:t xml:space="preserve"> “Therefore, if patients are not receiving meaningful and reasonably effective treatment for substance use disorders, which advances their health and safety, their commitment violates Federal due process requirements.”  </w:t>
      </w:r>
      <w:r w:rsidR="007876F3" w:rsidRPr="00CB2851">
        <w:rPr>
          <w:rFonts w:eastAsia="Times New Roman"/>
          <w:i/>
          <w:color w:val="000000"/>
          <w:bdr w:val="none" w:sz="0" w:space="0" w:color="auto"/>
        </w:rPr>
        <w:t xml:space="preserve">Foster v. </w:t>
      </w:r>
      <w:proofErr w:type="spellStart"/>
      <w:r w:rsidR="007876F3" w:rsidRPr="00CB2851">
        <w:rPr>
          <w:rFonts w:eastAsia="Times New Roman"/>
          <w:i/>
          <w:color w:val="000000"/>
          <w:bdr w:val="none" w:sz="0" w:space="0" w:color="auto"/>
        </w:rPr>
        <w:t>Commr</w:t>
      </w:r>
      <w:proofErr w:type="spellEnd"/>
      <w:r w:rsidR="007876F3" w:rsidRPr="00CB2851">
        <w:rPr>
          <w:rFonts w:eastAsia="Times New Roman"/>
          <w:i/>
          <w:color w:val="000000"/>
          <w:bdr w:val="none" w:sz="0" w:space="0" w:color="auto"/>
        </w:rPr>
        <w:t>. of Correction</w:t>
      </w:r>
      <w:r w:rsidR="00CB2851">
        <w:rPr>
          <w:rFonts w:eastAsia="Times New Roman"/>
          <w:color w:val="000000"/>
          <w:bdr w:val="none" w:sz="0" w:space="0" w:color="auto"/>
        </w:rPr>
        <w:t>, 484 Mass. 698 at *19</w:t>
      </w:r>
      <w:r w:rsidR="007876F3" w:rsidRPr="00F915DB">
        <w:rPr>
          <w:rFonts w:eastAsia="Times New Roman"/>
          <w:color w:val="000000"/>
          <w:bdr w:val="none" w:sz="0" w:space="0" w:color="auto"/>
        </w:rPr>
        <w:t xml:space="preserve"> (2020)</w:t>
      </w:r>
      <w:r w:rsidR="007876F3">
        <w:rPr>
          <w:rFonts w:eastAsia="Times New Roman"/>
          <w:color w:val="000000"/>
          <w:bdr w:val="none" w:sz="0" w:space="0" w:color="auto"/>
        </w:rPr>
        <w:t>.</w:t>
      </w:r>
    </w:p>
    <w:p w14:paraId="0D0A2B00" w14:textId="5D5985D7" w:rsidR="00960F41" w:rsidRDefault="00EB26E2" w:rsidP="00F915DB">
      <w:pPr>
        <w:pStyle w:val="Cuerpo"/>
        <w:spacing w:line="480" w:lineRule="auto"/>
        <w:ind w:firstLine="720"/>
        <w:rPr>
          <w:rStyle w:val="Ninguno"/>
          <w:rFonts w:ascii="Times New Roman" w:hAnsi="Times New Roman" w:cs="Times New Roman"/>
        </w:rPr>
      </w:pPr>
      <w:r w:rsidRPr="00C565E5">
        <w:rPr>
          <w:rStyle w:val="Ninguno"/>
          <w:rFonts w:ascii="Times New Roman" w:hAnsi="Times New Roman" w:cs="Times New Roman"/>
        </w:rPr>
        <w:t xml:space="preserve">In </w:t>
      </w:r>
      <w:r w:rsidR="0047126A">
        <w:rPr>
          <w:rStyle w:val="Ninguno"/>
          <w:rFonts w:ascii="Times New Roman" w:hAnsi="Times New Roman" w:cs="Times New Roman"/>
        </w:rPr>
        <w:t>defining the “</w:t>
      </w:r>
      <w:r w:rsidR="00A83692">
        <w:rPr>
          <w:rStyle w:val="Ninguno"/>
          <w:rFonts w:ascii="Times New Roman" w:hAnsi="Times New Roman" w:cs="Times New Roman"/>
        </w:rPr>
        <w:t>paradigmatic” and “</w:t>
      </w:r>
      <w:r w:rsidR="0047126A">
        <w:rPr>
          <w:rStyle w:val="Ninguno"/>
          <w:rFonts w:ascii="Times New Roman" w:hAnsi="Times New Roman" w:cs="Times New Roman"/>
        </w:rPr>
        <w:t>fundamental</w:t>
      </w:r>
      <w:r w:rsidR="00A83692">
        <w:rPr>
          <w:rStyle w:val="Ninguno"/>
          <w:rFonts w:ascii="Times New Roman" w:hAnsi="Times New Roman" w:cs="Times New Roman"/>
        </w:rPr>
        <w:t xml:space="preserve">” right to liberty that is abridged by commitment, the </w:t>
      </w:r>
      <w:r w:rsidR="00A83692" w:rsidRPr="00974A6D">
        <w:rPr>
          <w:rStyle w:val="Ninguno"/>
          <w:rFonts w:ascii="Times New Roman" w:hAnsi="Times New Roman" w:cs="Times New Roman"/>
        </w:rPr>
        <w:t>C</w:t>
      </w:r>
      <w:r w:rsidR="00A83692">
        <w:rPr>
          <w:rStyle w:val="Ninguno"/>
          <w:rFonts w:ascii="Times New Roman" w:hAnsi="Times New Roman" w:cs="Times New Roman"/>
        </w:rPr>
        <w:t xml:space="preserve">ourt cited two recent cases involving commitment for mental illness. </w:t>
      </w:r>
      <w:r w:rsidR="00A83692" w:rsidRPr="008F560E">
        <w:rPr>
          <w:rStyle w:val="Ninguno"/>
          <w:rFonts w:ascii="Times New Roman" w:hAnsi="Times New Roman" w:cs="Times New Roman"/>
          <w:i/>
        </w:rPr>
        <w:t xml:space="preserve"> </w:t>
      </w:r>
      <w:r w:rsidR="008F560E">
        <w:rPr>
          <w:rStyle w:val="Ninguno"/>
          <w:rFonts w:ascii="Times New Roman" w:hAnsi="Times New Roman" w:cs="Times New Roman"/>
          <w:i/>
        </w:rPr>
        <w:t xml:space="preserve">Id., </w:t>
      </w:r>
      <w:r w:rsidR="00A83692" w:rsidRPr="007E333A">
        <w:rPr>
          <w:rStyle w:val="Ninguno"/>
          <w:rFonts w:ascii="Times New Roman" w:hAnsi="Times New Roman" w:cs="Times New Roman"/>
          <w:i/>
        </w:rPr>
        <w:lastRenderedPageBreak/>
        <w:t>citing</w:t>
      </w:r>
      <w:r w:rsidR="00A83692">
        <w:rPr>
          <w:rStyle w:val="Ninguno"/>
          <w:rFonts w:ascii="Times New Roman" w:hAnsi="Times New Roman" w:cs="Times New Roman"/>
        </w:rPr>
        <w:t xml:space="preserve"> </w:t>
      </w:r>
      <w:r w:rsidR="00A83692" w:rsidRPr="008F560E">
        <w:rPr>
          <w:rStyle w:val="Ninguno"/>
          <w:rFonts w:ascii="Times New Roman" w:hAnsi="Times New Roman" w:cs="Times New Roman"/>
          <w:i/>
        </w:rPr>
        <w:t>Pembroke Hospital v. D.L</w:t>
      </w:r>
      <w:r w:rsidR="00A83692">
        <w:rPr>
          <w:rStyle w:val="Ninguno"/>
          <w:rFonts w:ascii="Times New Roman" w:hAnsi="Times New Roman" w:cs="Times New Roman"/>
        </w:rPr>
        <w:t xml:space="preserve">., 482 Mass. 346 (2019) and </w:t>
      </w:r>
      <w:r w:rsidR="00A83692" w:rsidRPr="008F560E">
        <w:rPr>
          <w:rStyle w:val="Ninguno"/>
          <w:rFonts w:ascii="Times New Roman" w:hAnsi="Times New Roman" w:cs="Times New Roman"/>
          <w:i/>
        </w:rPr>
        <w:t>Matter of E.C.,</w:t>
      </w:r>
      <w:r w:rsidR="00A83692">
        <w:rPr>
          <w:rStyle w:val="Ninguno"/>
          <w:rFonts w:ascii="Times New Roman" w:hAnsi="Times New Roman" w:cs="Times New Roman"/>
        </w:rPr>
        <w:t xml:space="preserve"> 479 Mass. 113 (2018)</w:t>
      </w:r>
      <w:r w:rsidR="000D2F69">
        <w:rPr>
          <w:rStyle w:val="Ninguno"/>
          <w:rFonts w:ascii="Times New Roman" w:hAnsi="Times New Roman" w:cs="Times New Roman"/>
        </w:rPr>
        <w:t xml:space="preserve">.  For both </w:t>
      </w:r>
      <w:r w:rsidRPr="00C565E5">
        <w:rPr>
          <w:rStyle w:val="Ninguno"/>
          <w:rFonts w:ascii="Times New Roman" w:hAnsi="Times New Roman" w:cs="Times New Roman"/>
        </w:rPr>
        <w:t>types of commitments, the</w:t>
      </w:r>
      <w:r w:rsidR="0047126A">
        <w:rPr>
          <w:rStyle w:val="Ninguno"/>
          <w:rFonts w:ascii="Times New Roman" w:hAnsi="Times New Roman" w:cs="Times New Roman"/>
        </w:rPr>
        <w:t xml:space="preserve"> restraint on liberty</w:t>
      </w:r>
      <w:r w:rsidRPr="00C565E5">
        <w:rPr>
          <w:rStyle w:val="Ninguno"/>
          <w:rFonts w:ascii="Times New Roman" w:hAnsi="Times New Roman" w:cs="Times New Roman"/>
        </w:rPr>
        <w:t xml:space="preserve"> must be reviewed under a “strict scrutiny” analysis to insure</w:t>
      </w:r>
      <w:r w:rsidR="0014065B">
        <w:rPr>
          <w:rStyle w:val="Ninguno"/>
          <w:rFonts w:ascii="Times New Roman" w:hAnsi="Times New Roman" w:cs="Times New Roman"/>
        </w:rPr>
        <w:t xml:space="preserve"> </w:t>
      </w:r>
      <w:r w:rsidRPr="00C565E5">
        <w:rPr>
          <w:rStyle w:val="Ninguno"/>
          <w:rFonts w:ascii="Times New Roman" w:hAnsi="Times New Roman" w:cs="Times New Roman"/>
        </w:rPr>
        <w:t xml:space="preserve">that the fundamental right to liberty is only </w:t>
      </w:r>
      <w:r w:rsidR="006D192E" w:rsidRPr="00C565E5">
        <w:rPr>
          <w:rStyle w:val="Ninguno"/>
          <w:rFonts w:ascii="Times New Roman" w:hAnsi="Times New Roman" w:cs="Times New Roman"/>
        </w:rPr>
        <w:t>curtailed</w:t>
      </w:r>
      <w:r w:rsidRPr="00C565E5">
        <w:rPr>
          <w:rStyle w:val="Ninguno"/>
          <w:rFonts w:ascii="Times New Roman" w:hAnsi="Times New Roman" w:cs="Times New Roman"/>
        </w:rPr>
        <w:t xml:space="preserve"> to </w:t>
      </w:r>
      <w:r w:rsidR="001A53CB">
        <w:rPr>
          <w:rStyle w:val="Ninguno"/>
          <w:rFonts w:ascii="Times New Roman" w:hAnsi="Times New Roman" w:cs="Times New Roman"/>
        </w:rPr>
        <w:t>achieve</w:t>
      </w:r>
      <w:r w:rsidRPr="00C565E5">
        <w:rPr>
          <w:rStyle w:val="Ninguno"/>
          <w:rFonts w:ascii="Times New Roman" w:hAnsi="Times New Roman" w:cs="Times New Roman"/>
        </w:rPr>
        <w:t xml:space="preserve"> a compelling</w:t>
      </w:r>
      <w:r w:rsidR="001A53CB">
        <w:rPr>
          <w:rStyle w:val="Ninguno"/>
          <w:rFonts w:ascii="Times New Roman" w:hAnsi="Times New Roman" w:cs="Times New Roman"/>
        </w:rPr>
        <w:t xml:space="preserve"> </w:t>
      </w:r>
      <w:r w:rsidR="007E333A">
        <w:rPr>
          <w:rStyle w:val="Ninguno"/>
          <w:rFonts w:ascii="Times New Roman" w:hAnsi="Times New Roman" w:cs="Times New Roman"/>
        </w:rPr>
        <w:t>government</w:t>
      </w:r>
      <w:r w:rsidRPr="00C565E5">
        <w:rPr>
          <w:rStyle w:val="Ninguno"/>
          <w:rFonts w:ascii="Times New Roman" w:hAnsi="Times New Roman" w:cs="Times New Roman"/>
        </w:rPr>
        <w:t xml:space="preserve"> interest and </w:t>
      </w:r>
      <w:r w:rsidR="00E32D31" w:rsidRPr="00C565E5">
        <w:rPr>
          <w:rStyle w:val="Ninguno"/>
          <w:rFonts w:ascii="Times New Roman" w:hAnsi="Times New Roman" w:cs="Times New Roman"/>
        </w:rPr>
        <w:t xml:space="preserve">that commitment </w:t>
      </w:r>
      <w:r w:rsidRPr="00C565E5">
        <w:rPr>
          <w:rStyle w:val="Ninguno"/>
          <w:rFonts w:ascii="Times New Roman" w:hAnsi="Times New Roman" w:cs="Times New Roman"/>
        </w:rPr>
        <w:t xml:space="preserve">is </w:t>
      </w:r>
      <w:r w:rsidR="000D2F69">
        <w:rPr>
          <w:rStyle w:val="Ninguno"/>
          <w:rFonts w:ascii="Times New Roman" w:hAnsi="Times New Roman" w:cs="Times New Roman"/>
        </w:rPr>
        <w:t>“</w:t>
      </w:r>
      <w:r w:rsidRPr="00C565E5">
        <w:rPr>
          <w:rStyle w:val="Ninguno"/>
          <w:rFonts w:ascii="Times New Roman" w:hAnsi="Times New Roman" w:cs="Times New Roman"/>
        </w:rPr>
        <w:t xml:space="preserve">the least restrictive means </w:t>
      </w:r>
      <w:r w:rsidR="000D2F69">
        <w:rPr>
          <w:rStyle w:val="Ninguno"/>
          <w:rFonts w:ascii="Times New Roman" w:hAnsi="Times New Roman" w:cs="Times New Roman"/>
        </w:rPr>
        <w:t xml:space="preserve">available to vindicate that interest.” </w:t>
      </w:r>
      <w:r w:rsidR="000D2F69" w:rsidRPr="008F7A00">
        <w:rPr>
          <w:rStyle w:val="Ninguno"/>
          <w:rFonts w:ascii="Times New Roman" w:hAnsi="Times New Roman" w:cs="Times New Roman"/>
          <w:i/>
        </w:rPr>
        <w:t>Id.,</w:t>
      </w:r>
      <w:r w:rsidR="000D2F69" w:rsidRPr="007E333A">
        <w:rPr>
          <w:rStyle w:val="Ninguno"/>
          <w:rFonts w:ascii="Times New Roman" w:hAnsi="Times New Roman" w:cs="Times New Roman"/>
          <w:i/>
        </w:rPr>
        <w:t xml:space="preserve"> citing</w:t>
      </w:r>
      <w:r w:rsidR="000D2F69">
        <w:rPr>
          <w:rStyle w:val="Ninguno"/>
          <w:rFonts w:ascii="Times New Roman" w:hAnsi="Times New Roman" w:cs="Times New Roman"/>
        </w:rPr>
        <w:t xml:space="preserve"> </w:t>
      </w:r>
      <w:r w:rsidR="000D2F69" w:rsidRPr="00BE5320">
        <w:rPr>
          <w:rStyle w:val="Ninguno"/>
          <w:rFonts w:ascii="Times New Roman" w:hAnsi="Times New Roman" w:cs="Times New Roman"/>
          <w:i/>
        </w:rPr>
        <w:t>Massachusetts General Hospital v. C.R.,</w:t>
      </w:r>
      <w:r w:rsidR="000D2F69">
        <w:rPr>
          <w:rStyle w:val="Ninguno"/>
          <w:rFonts w:ascii="Times New Roman" w:hAnsi="Times New Roman" w:cs="Times New Roman"/>
        </w:rPr>
        <w:t xml:space="preserve"> 484 Mass. 472, 489 (2020)</w:t>
      </w:r>
    </w:p>
    <w:p w14:paraId="52F638BB" w14:textId="7A4B2403" w:rsidR="001B3E99" w:rsidRPr="007876F3" w:rsidRDefault="00960F41" w:rsidP="00F915D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80" w:lineRule="auto"/>
        <w:ind w:firstLine="720"/>
        <w:rPr>
          <w:rStyle w:val="Ninguno"/>
          <w:rFonts w:ascii="Calibri" w:eastAsia="Times New Roman" w:hAnsi="Calibri" w:cs="Arial Unicode MS"/>
          <w:b/>
          <w:bCs/>
          <w:color w:val="000000"/>
          <w:u w:color="000000"/>
          <w:bdr w:val="none" w:sz="0" w:space="0" w:color="auto"/>
          <w14:textOutline w14:w="0" w14:cap="flat" w14:cmpd="sng" w14:algn="ctr">
            <w14:noFill/>
            <w14:prstDash w14:val="solid"/>
            <w14:bevel/>
          </w14:textOutline>
        </w:rPr>
      </w:pPr>
      <w:r>
        <w:rPr>
          <w:rStyle w:val="Ninguno"/>
        </w:rPr>
        <w:t xml:space="preserve">The </w:t>
      </w:r>
      <w:r w:rsidRPr="001A24F6">
        <w:rPr>
          <w:rStyle w:val="Ninguno"/>
          <w:i/>
        </w:rPr>
        <w:t>Foster</w:t>
      </w:r>
      <w:r w:rsidR="001A24F6">
        <w:rPr>
          <w:rStyle w:val="Ninguno"/>
        </w:rPr>
        <w:t xml:space="preserve"> </w:t>
      </w:r>
      <w:r w:rsidR="001A24F6" w:rsidRPr="001A24F6">
        <w:rPr>
          <w:rStyle w:val="Ninguno"/>
          <w:i/>
        </w:rPr>
        <w:t>I</w:t>
      </w:r>
      <w:r w:rsidRPr="001A24F6">
        <w:rPr>
          <w:rStyle w:val="Ninguno"/>
        </w:rPr>
        <w:t xml:space="preserve"> </w:t>
      </w:r>
      <w:r>
        <w:rPr>
          <w:rStyle w:val="Ninguno"/>
        </w:rPr>
        <w:t xml:space="preserve">Court noted that it had no evidence that the dangers of substance use disorder or the need for treatment had been </w:t>
      </w:r>
      <w:r w:rsidR="00140039">
        <w:rPr>
          <w:rStyle w:val="Ninguno"/>
        </w:rPr>
        <w:t>reduced</w:t>
      </w:r>
      <w:r>
        <w:rPr>
          <w:rStyle w:val="Ninguno"/>
        </w:rPr>
        <w:t xml:space="preserve"> by the pandemic</w:t>
      </w:r>
      <w:r w:rsidR="00140039">
        <w:rPr>
          <w:rStyle w:val="Ninguno"/>
        </w:rPr>
        <w:t xml:space="preserve"> and thus the compelling government interest appeared unchanged.   </w:t>
      </w:r>
      <w:r w:rsidR="00FA080C">
        <w:rPr>
          <w:rStyle w:val="Ninguno"/>
        </w:rPr>
        <w:t>In contrast,</w:t>
      </w:r>
      <w:r w:rsidR="001B3E99">
        <w:rPr>
          <w:rStyle w:val="Ninguno"/>
        </w:rPr>
        <w:t xml:space="preserve"> “the pandemic, however, may affect whether commitment is narrowly tailored to that interest.  If the commitment and treatment do not </w:t>
      </w:r>
      <w:proofErr w:type="gramStart"/>
      <w:r w:rsidR="001B3E99">
        <w:rPr>
          <w:rStyle w:val="Ninguno"/>
        </w:rPr>
        <w:t>promote effectively</w:t>
      </w:r>
      <w:proofErr w:type="gramEnd"/>
      <w:r w:rsidR="001B3E99">
        <w:rPr>
          <w:rStyle w:val="Ninguno"/>
        </w:rPr>
        <w:t xml:space="preserve"> the government’s interest in the individual’s and others health and safety, the government action cannot survive strict scrutiny.” </w:t>
      </w:r>
      <w:r w:rsidR="001B3E99" w:rsidRPr="00832CE1">
        <w:rPr>
          <w:rFonts w:eastAsia="Times New Roman"/>
          <w:i/>
          <w:color w:val="000000"/>
          <w:bdr w:val="none" w:sz="0" w:space="0" w:color="auto"/>
        </w:rPr>
        <w:t xml:space="preserve">Foster v. </w:t>
      </w:r>
      <w:proofErr w:type="spellStart"/>
      <w:r w:rsidR="001B3E99" w:rsidRPr="00832CE1">
        <w:rPr>
          <w:rFonts w:eastAsia="Times New Roman"/>
          <w:i/>
          <w:color w:val="000000"/>
          <w:bdr w:val="none" w:sz="0" w:space="0" w:color="auto"/>
        </w:rPr>
        <w:t>Commr</w:t>
      </w:r>
      <w:proofErr w:type="spellEnd"/>
      <w:r w:rsidR="001B3E99" w:rsidRPr="00832CE1">
        <w:rPr>
          <w:rFonts w:eastAsia="Times New Roman"/>
          <w:i/>
          <w:color w:val="000000"/>
          <w:bdr w:val="none" w:sz="0" w:space="0" w:color="auto"/>
        </w:rPr>
        <w:t>. of Correction,</w:t>
      </w:r>
      <w:r w:rsidR="001B3E99" w:rsidRPr="00F915DB">
        <w:rPr>
          <w:rFonts w:eastAsia="Times New Roman"/>
          <w:color w:val="000000"/>
          <w:bdr w:val="none" w:sz="0" w:space="0" w:color="auto"/>
        </w:rPr>
        <w:t xml:space="preserve"> 484 Mass. 698 at *2</w:t>
      </w:r>
      <w:r w:rsidR="001B3E99">
        <w:rPr>
          <w:rFonts w:eastAsia="Times New Roman"/>
          <w:color w:val="000000"/>
          <w:bdr w:val="none" w:sz="0" w:space="0" w:color="auto"/>
        </w:rPr>
        <w:t>0</w:t>
      </w:r>
      <w:r w:rsidR="001B3E99" w:rsidRPr="00F915DB">
        <w:rPr>
          <w:rFonts w:eastAsia="Times New Roman"/>
          <w:color w:val="000000"/>
          <w:bdr w:val="none" w:sz="0" w:space="0" w:color="auto"/>
        </w:rPr>
        <w:t xml:space="preserve"> (2020)</w:t>
      </w:r>
      <w:r w:rsidR="001B3E99">
        <w:rPr>
          <w:rFonts w:eastAsia="Times New Roman"/>
          <w:color w:val="000000"/>
          <w:bdr w:val="none" w:sz="0" w:space="0" w:color="auto"/>
        </w:rPr>
        <w:t>.</w:t>
      </w:r>
    </w:p>
    <w:p w14:paraId="4F19D145" w14:textId="7C3BFCE5" w:rsidR="00AE7964" w:rsidRPr="00C565E5" w:rsidRDefault="001B3E99" w:rsidP="001B3E99">
      <w:pPr>
        <w:pStyle w:val="Cuerpo"/>
        <w:spacing w:line="480" w:lineRule="auto"/>
        <w:ind w:firstLine="720"/>
        <w:rPr>
          <w:rStyle w:val="Ninguno"/>
          <w:rFonts w:ascii="Times New Roman" w:hAnsi="Times New Roman" w:cs="Times New Roman"/>
        </w:rPr>
      </w:pPr>
      <w:r>
        <w:rPr>
          <w:rStyle w:val="Ninguno"/>
          <w:rFonts w:ascii="Times New Roman" w:hAnsi="Times New Roman" w:cs="Times New Roman"/>
        </w:rPr>
        <w:t xml:space="preserve"> </w:t>
      </w:r>
      <w:r w:rsidR="00AE7964" w:rsidRPr="00C565E5">
        <w:rPr>
          <w:rStyle w:val="Ninguno"/>
          <w:rFonts w:ascii="Times New Roman" w:hAnsi="Times New Roman" w:cs="Times New Roman"/>
        </w:rPr>
        <w:t xml:space="preserve">The finding that commitment is the “least restrictive alternative” was </w:t>
      </w:r>
      <w:r w:rsidR="00DA64C3">
        <w:rPr>
          <w:rStyle w:val="Ninguno"/>
          <w:rFonts w:ascii="Times New Roman" w:hAnsi="Times New Roman" w:cs="Times New Roman"/>
        </w:rPr>
        <w:t xml:space="preserve">recently </w:t>
      </w:r>
      <w:r w:rsidR="00AE7964" w:rsidRPr="00C565E5">
        <w:rPr>
          <w:rStyle w:val="Ninguno"/>
          <w:rFonts w:ascii="Times New Roman" w:hAnsi="Times New Roman" w:cs="Times New Roman"/>
        </w:rPr>
        <w:t xml:space="preserve">given constitutional </w:t>
      </w:r>
      <w:r w:rsidR="00FA63A8" w:rsidRPr="00C565E5">
        <w:rPr>
          <w:rStyle w:val="Ninguno"/>
          <w:rFonts w:ascii="Times New Roman" w:hAnsi="Times New Roman" w:cs="Times New Roman"/>
        </w:rPr>
        <w:t>status</w:t>
      </w:r>
      <w:r w:rsidR="00AE7964" w:rsidRPr="00C565E5">
        <w:rPr>
          <w:rStyle w:val="Ninguno"/>
          <w:rFonts w:ascii="Times New Roman" w:hAnsi="Times New Roman" w:cs="Times New Roman"/>
        </w:rPr>
        <w:t xml:space="preserve"> in </w:t>
      </w:r>
      <w:r w:rsidR="00DA64C3">
        <w:rPr>
          <w:rStyle w:val="Ninguno"/>
          <w:rFonts w:ascii="Times New Roman" w:hAnsi="Times New Roman" w:cs="Times New Roman"/>
        </w:rPr>
        <w:t xml:space="preserve">the section 35 case of </w:t>
      </w:r>
      <w:r w:rsidR="00AE7964" w:rsidRPr="00D556A1">
        <w:rPr>
          <w:rStyle w:val="Ninguno"/>
          <w:rFonts w:ascii="Times New Roman" w:hAnsi="Times New Roman" w:cs="Times New Roman"/>
          <w:i/>
        </w:rPr>
        <w:t>Matter of a Minor,</w:t>
      </w:r>
      <w:r w:rsidR="00AE7964" w:rsidRPr="00C565E5">
        <w:rPr>
          <w:rStyle w:val="Ninguno"/>
          <w:rFonts w:ascii="Times New Roman" w:hAnsi="Times New Roman" w:cs="Times New Roman"/>
        </w:rPr>
        <w:t xml:space="preserve"> </w:t>
      </w:r>
      <w:r w:rsidR="00DA64C3">
        <w:rPr>
          <w:rStyle w:val="Ninguno"/>
          <w:rFonts w:ascii="Times New Roman" w:hAnsi="Times New Roman" w:cs="Times New Roman"/>
        </w:rPr>
        <w:t xml:space="preserve">484 Mass.  295, </w:t>
      </w:r>
      <w:r w:rsidR="00DA64C3" w:rsidRPr="00BF331F">
        <w:rPr>
          <w:rStyle w:val="Ninguno"/>
          <w:rFonts w:ascii="Times New Roman" w:hAnsi="Times New Roman" w:cs="Times New Roman"/>
        </w:rPr>
        <w:t>310</w:t>
      </w:r>
      <w:r w:rsidR="00DA64C3">
        <w:rPr>
          <w:rStyle w:val="Ninguno"/>
          <w:rFonts w:ascii="Times New Roman" w:hAnsi="Times New Roman" w:cs="Times New Roman"/>
        </w:rPr>
        <w:t xml:space="preserve"> (2020)</w:t>
      </w:r>
      <w:r w:rsidR="0014065B">
        <w:rPr>
          <w:rStyle w:val="Ninguno"/>
          <w:rFonts w:ascii="Times New Roman" w:hAnsi="Times New Roman" w:cs="Times New Roman"/>
        </w:rPr>
        <w:t>.</w:t>
      </w:r>
      <w:r w:rsidR="00DA64C3">
        <w:rPr>
          <w:rStyle w:val="Ninguno"/>
          <w:rFonts w:ascii="Times New Roman" w:hAnsi="Times New Roman" w:cs="Times New Roman"/>
        </w:rPr>
        <w:t xml:space="preserve"> </w:t>
      </w:r>
      <w:r w:rsidR="00DA6177" w:rsidRPr="00C565E5">
        <w:rPr>
          <w:rStyle w:val="Ninguno"/>
          <w:rFonts w:ascii="Times New Roman" w:hAnsi="Times New Roman" w:cs="Times New Roman"/>
        </w:rPr>
        <w:t>T</w:t>
      </w:r>
      <w:r w:rsidR="00AE7964" w:rsidRPr="00C565E5">
        <w:rPr>
          <w:rStyle w:val="Ninguno"/>
          <w:rFonts w:ascii="Times New Roman" w:hAnsi="Times New Roman" w:cs="Times New Roman"/>
        </w:rPr>
        <w:t xml:space="preserve">he Court held that commitment </w:t>
      </w:r>
      <w:r w:rsidR="004F7FBB">
        <w:rPr>
          <w:rStyle w:val="Ninguno"/>
          <w:rFonts w:ascii="Times New Roman" w:hAnsi="Times New Roman" w:cs="Times New Roman"/>
        </w:rPr>
        <w:t>is intended to</w:t>
      </w:r>
      <w:r w:rsidR="00AE7964" w:rsidRPr="00C565E5">
        <w:rPr>
          <w:rStyle w:val="Ninguno"/>
          <w:rFonts w:ascii="Times New Roman" w:hAnsi="Times New Roman" w:cs="Times New Roman"/>
        </w:rPr>
        <w:t xml:space="preserve"> be a “</w:t>
      </w:r>
      <w:r w:rsidR="004F7FBB">
        <w:rPr>
          <w:rStyle w:val="Ninguno"/>
          <w:rFonts w:ascii="Times New Roman" w:hAnsi="Times New Roman" w:cs="Times New Roman"/>
        </w:rPr>
        <w:t>carefully</w:t>
      </w:r>
      <w:r w:rsidR="00AE7964" w:rsidRPr="00C565E5">
        <w:rPr>
          <w:rStyle w:val="Ninguno"/>
          <w:rFonts w:ascii="Times New Roman" w:hAnsi="Times New Roman" w:cs="Times New Roman"/>
        </w:rPr>
        <w:t xml:space="preserve"> circumscribed</w:t>
      </w:r>
      <w:r w:rsidR="004F7FBB">
        <w:rPr>
          <w:rStyle w:val="Ninguno"/>
          <w:rFonts w:ascii="Times New Roman" w:hAnsi="Times New Roman" w:cs="Times New Roman"/>
        </w:rPr>
        <w:t>…</w:t>
      </w:r>
      <w:r w:rsidR="00AE7964" w:rsidRPr="00C565E5">
        <w:rPr>
          <w:rStyle w:val="Ninguno"/>
          <w:rFonts w:ascii="Times New Roman" w:hAnsi="Times New Roman" w:cs="Times New Roman"/>
        </w:rPr>
        <w:t xml:space="preserve"> tool of last resort.” </w:t>
      </w:r>
      <w:r w:rsidR="00DA64C3">
        <w:rPr>
          <w:rStyle w:val="Ninguno"/>
          <w:rFonts w:ascii="Times New Roman" w:hAnsi="Times New Roman" w:cs="Times New Roman"/>
        </w:rPr>
        <w:t xml:space="preserve"> </w:t>
      </w:r>
      <w:r w:rsidR="004F7FBB" w:rsidRPr="00C54738">
        <w:rPr>
          <w:rFonts w:ascii="Times New Roman" w:eastAsia="Times New Roman" w:hAnsi="Times New Roman" w:cs="Times New Roman"/>
          <w:i/>
          <w:bdr w:val="none" w:sz="0" w:space="0" w:color="auto"/>
        </w:rPr>
        <w:t xml:space="preserve">Foster v. </w:t>
      </w:r>
      <w:proofErr w:type="spellStart"/>
      <w:r w:rsidR="004F7FBB" w:rsidRPr="00C54738">
        <w:rPr>
          <w:rFonts w:ascii="Times New Roman" w:eastAsia="Times New Roman" w:hAnsi="Times New Roman" w:cs="Times New Roman"/>
          <w:i/>
          <w:bdr w:val="none" w:sz="0" w:space="0" w:color="auto"/>
        </w:rPr>
        <w:t>Commr</w:t>
      </w:r>
      <w:proofErr w:type="spellEnd"/>
      <w:r w:rsidR="004F7FBB" w:rsidRPr="00C54738">
        <w:rPr>
          <w:rFonts w:ascii="Times New Roman" w:eastAsia="Times New Roman" w:hAnsi="Times New Roman" w:cs="Times New Roman"/>
          <w:i/>
          <w:bdr w:val="none" w:sz="0" w:space="0" w:color="auto"/>
        </w:rPr>
        <w:t>. of Correction</w:t>
      </w:r>
      <w:r w:rsidR="004F7FBB" w:rsidRPr="00F915DB">
        <w:rPr>
          <w:rFonts w:ascii="Times New Roman" w:eastAsia="Times New Roman" w:hAnsi="Times New Roman" w:cs="Times New Roman"/>
          <w:bdr w:val="none" w:sz="0" w:space="0" w:color="auto"/>
        </w:rPr>
        <w:t>, 484 Mass. 698 at *</w:t>
      </w:r>
      <w:r w:rsidR="004F7FBB">
        <w:rPr>
          <w:rFonts w:ascii="Times New Roman" w:eastAsia="Times New Roman" w:hAnsi="Times New Roman" w:cs="Times New Roman"/>
          <w:bdr w:val="none" w:sz="0" w:space="0" w:color="auto"/>
        </w:rPr>
        <w:t>18</w:t>
      </w:r>
      <w:r w:rsidR="004F7FBB" w:rsidRPr="00F915DB">
        <w:rPr>
          <w:rFonts w:ascii="Times New Roman" w:eastAsia="Times New Roman" w:hAnsi="Times New Roman" w:cs="Times New Roman"/>
          <w:bdr w:val="none" w:sz="0" w:space="0" w:color="auto"/>
        </w:rPr>
        <w:t xml:space="preserve"> (2020)</w:t>
      </w:r>
      <w:r w:rsidR="0014065B">
        <w:rPr>
          <w:rFonts w:ascii="Times New Roman" w:eastAsia="Times New Roman" w:hAnsi="Times New Roman" w:cs="Times New Roman"/>
          <w:bdr w:val="none" w:sz="0" w:space="0" w:color="auto"/>
        </w:rPr>
        <w:t>,</w:t>
      </w:r>
      <w:r w:rsidR="004F7FBB">
        <w:rPr>
          <w:rFonts w:ascii="Times New Roman" w:eastAsia="Times New Roman" w:hAnsi="Times New Roman" w:cs="Times New Roman"/>
          <w:bdr w:val="none" w:sz="0" w:space="0" w:color="auto"/>
        </w:rPr>
        <w:t xml:space="preserve"> </w:t>
      </w:r>
      <w:r w:rsidR="004F7FBB" w:rsidRPr="004F7FBB">
        <w:rPr>
          <w:rFonts w:ascii="Times New Roman" w:eastAsia="Times New Roman" w:hAnsi="Times New Roman" w:cs="Times New Roman"/>
          <w:i/>
          <w:bdr w:val="none" w:sz="0" w:space="0" w:color="auto"/>
        </w:rPr>
        <w:t>citing</w:t>
      </w:r>
      <w:r w:rsidR="004F7FBB">
        <w:rPr>
          <w:rFonts w:ascii="Times New Roman" w:eastAsia="Times New Roman" w:hAnsi="Times New Roman" w:cs="Times New Roman"/>
          <w:bdr w:val="none" w:sz="0" w:space="0" w:color="auto"/>
        </w:rPr>
        <w:t xml:space="preserve"> </w:t>
      </w:r>
      <w:r w:rsidR="004F7FBB" w:rsidRPr="00C54738">
        <w:rPr>
          <w:rFonts w:ascii="Times New Roman" w:eastAsia="Times New Roman" w:hAnsi="Times New Roman" w:cs="Times New Roman"/>
          <w:i/>
          <w:bdr w:val="none" w:sz="0" w:space="0" w:color="auto"/>
        </w:rPr>
        <w:t>Matter of a Minor</w:t>
      </w:r>
      <w:r w:rsidR="004F7FBB">
        <w:rPr>
          <w:rFonts w:ascii="Times New Roman" w:eastAsia="Times New Roman" w:hAnsi="Times New Roman" w:cs="Times New Roman"/>
          <w:bdr w:val="none" w:sz="0" w:space="0" w:color="auto"/>
        </w:rPr>
        <w:t xml:space="preserve"> at </w:t>
      </w:r>
      <w:r w:rsidR="004F7FBB">
        <w:rPr>
          <w:rStyle w:val="Ninguno"/>
          <w:rFonts w:ascii="Times New Roman" w:hAnsi="Times New Roman" w:cs="Times New Roman"/>
        </w:rPr>
        <w:t xml:space="preserve">484 Mass.  295 at 311. </w:t>
      </w:r>
      <w:r w:rsidR="00981980">
        <w:rPr>
          <w:rStyle w:val="Ninguno"/>
          <w:rFonts w:ascii="Times New Roman" w:hAnsi="Times New Roman" w:cs="Times New Roman"/>
        </w:rPr>
        <w:t xml:space="preserve"> </w:t>
      </w:r>
      <w:r w:rsidR="00464DE2">
        <w:rPr>
          <w:rStyle w:val="Ninguno"/>
          <w:rFonts w:ascii="Times New Roman" w:hAnsi="Times New Roman" w:cs="Times New Roman"/>
        </w:rPr>
        <w:t xml:space="preserve"> While </w:t>
      </w:r>
      <w:r w:rsidR="00464DE2" w:rsidRPr="00C54738">
        <w:rPr>
          <w:rStyle w:val="Ninguno"/>
          <w:rFonts w:ascii="Times New Roman" w:hAnsi="Times New Roman" w:cs="Times New Roman"/>
          <w:i/>
        </w:rPr>
        <w:t>Matter of a Minor</w:t>
      </w:r>
      <w:r w:rsidR="00464DE2">
        <w:rPr>
          <w:rStyle w:val="Ninguno"/>
          <w:rFonts w:ascii="Times New Roman" w:hAnsi="Times New Roman" w:cs="Times New Roman"/>
        </w:rPr>
        <w:t xml:space="preserve"> was also a section 35 case, i</w:t>
      </w:r>
      <w:r w:rsidR="009C6775">
        <w:rPr>
          <w:rStyle w:val="Ninguno"/>
          <w:rFonts w:ascii="Times New Roman" w:hAnsi="Times New Roman" w:cs="Times New Roman"/>
        </w:rPr>
        <w:t>t reaffirmed</w:t>
      </w:r>
      <w:r w:rsidR="00464DE2">
        <w:rPr>
          <w:rStyle w:val="Ninguno"/>
          <w:rFonts w:ascii="Times New Roman" w:hAnsi="Times New Roman" w:cs="Times New Roman"/>
        </w:rPr>
        <w:t xml:space="preserve"> and </w:t>
      </w:r>
      <w:r w:rsidR="00424DFC" w:rsidRPr="00C565E5">
        <w:rPr>
          <w:rStyle w:val="Ninguno"/>
          <w:rFonts w:ascii="Times New Roman" w:hAnsi="Times New Roman" w:cs="Times New Roman"/>
        </w:rPr>
        <w:t>elevate</w:t>
      </w:r>
      <w:r w:rsidR="009C6775">
        <w:rPr>
          <w:rStyle w:val="Ninguno"/>
          <w:rFonts w:ascii="Times New Roman" w:hAnsi="Times New Roman" w:cs="Times New Roman"/>
        </w:rPr>
        <w:t>d</w:t>
      </w:r>
      <w:r w:rsidR="00424DFC" w:rsidRPr="00C565E5">
        <w:rPr>
          <w:rStyle w:val="Ninguno"/>
          <w:rFonts w:ascii="Times New Roman" w:hAnsi="Times New Roman" w:cs="Times New Roman"/>
        </w:rPr>
        <w:t xml:space="preserve"> to constitutional status principles from a </w:t>
      </w:r>
      <w:r w:rsidR="009C6775">
        <w:rPr>
          <w:rStyle w:val="Ninguno"/>
          <w:rFonts w:ascii="Times New Roman" w:hAnsi="Times New Roman" w:cs="Times New Roman"/>
        </w:rPr>
        <w:t xml:space="preserve">40 year old </w:t>
      </w:r>
      <w:r w:rsidR="008C1D99">
        <w:rPr>
          <w:rStyle w:val="Ninguno"/>
          <w:rFonts w:ascii="Times New Roman" w:hAnsi="Times New Roman" w:cs="Times New Roman"/>
        </w:rPr>
        <w:t>case involving</w:t>
      </w:r>
      <w:r w:rsidR="00424DFC" w:rsidRPr="00C565E5">
        <w:rPr>
          <w:rStyle w:val="Ninguno"/>
          <w:rFonts w:ascii="Times New Roman" w:hAnsi="Times New Roman" w:cs="Times New Roman"/>
        </w:rPr>
        <w:t xml:space="preserve"> </w:t>
      </w:r>
      <w:r w:rsidR="009C6775">
        <w:rPr>
          <w:rStyle w:val="Ninguno"/>
          <w:rFonts w:ascii="Times New Roman" w:hAnsi="Times New Roman" w:cs="Times New Roman"/>
        </w:rPr>
        <w:t xml:space="preserve">commitment for </w:t>
      </w:r>
      <w:r w:rsidR="00424DFC" w:rsidRPr="00C565E5">
        <w:rPr>
          <w:rStyle w:val="Ninguno"/>
          <w:rFonts w:ascii="Times New Roman" w:hAnsi="Times New Roman" w:cs="Times New Roman"/>
        </w:rPr>
        <w:t xml:space="preserve">mental illness </w:t>
      </w:r>
      <w:r w:rsidR="009C6775">
        <w:rPr>
          <w:rStyle w:val="Ninguno"/>
          <w:rFonts w:ascii="Times New Roman" w:hAnsi="Times New Roman" w:cs="Times New Roman"/>
        </w:rPr>
        <w:t xml:space="preserve">under </w:t>
      </w:r>
      <w:r w:rsidR="009C6775" w:rsidRPr="00C565E5">
        <w:rPr>
          <w:rStyle w:val="Ninguno"/>
          <w:rFonts w:ascii="Times New Roman" w:hAnsi="Times New Roman" w:cs="Times New Roman"/>
        </w:rPr>
        <w:t>G.L. c. 123</w:t>
      </w:r>
      <w:r w:rsidR="009C6775">
        <w:rPr>
          <w:rStyle w:val="Ninguno"/>
          <w:rFonts w:ascii="Times New Roman" w:hAnsi="Times New Roman" w:cs="Times New Roman"/>
        </w:rPr>
        <w:t>,</w:t>
      </w:r>
      <w:r w:rsidR="009C6775" w:rsidRPr="00C565E5">
        <w:rPr>
          <w:rStyle w:val="Ninguno"/>
          <w:rFonts w:ascii="Times New Roman" w:hAnsi="Times New Roman" w:cs="Times New Roman"/>
        </w:rPr>
        <w:t xml:space="preserve"> §</w:t>
      </w:r>
      <w:proofErr w:type="gramStart"/>
      <w:r w:rsidR="009C6775" w:rsidRPr="00C565E5">
        <w:rPr>
          <w:rStyle w:val="Ninguno"/>
          <w:rFonts w:ascii="Times New Roman" w:hAnsi="Times New Roman" w:cs="Times New Roman"/>
        </w:rPr>
        <w:t xml:space="preserve">16 </w:t>
      </w:r>
      <w:r w:rsidR="009C6775">
        <w:rPr>
          <w:rStyle w:val="Ninguno"/>
          <w:rFonts w:ascii="Times New Roman" w:hAnsi="Times New Roman" w:cs="Times New Roman"/>
        </w:rPr>
        <w:t>.</w:t>
      </w:r>
      <w:proofErr w:type="gramEnd"/>
      <w:r w:rsidR="009C6775">
        <w:rPr>
          <w:rStyle w:val="Ninguno"/>
          <w:rFonts w:ascii="Times New Roman" w:hAnsi="Times New Roman" w:cs="Times New Roman"/>
        </w:rPr>
        <w:t xml:space="preserve"> </w:t>
      </w:r>
      <w:r w:rsidR="008C1D99">
        <w:rPr>
          <w:rStyle w:val="Ninguno"/>
          <w:rFonts w:ascii="Times New Roman" w:hAnsi="Times New Roman" w:cs="Times New Roman"/>
        </w:rPr>
        <w:t>In</w:t>
      </w:r>
      <w:r w:rsidR="00424DFC" w:rsidRPr="00C565E5">
        <w:rPr>
          <w:rStyle w:val="Ninguno"/>
          <w:rFonts w:ascii="Times New Roman" w:hAnsi="Times New Roman" w:cs="Times New Roman"/>
        </w:rPr>
        <w:t xml:space="preserve"> </w:t>
      </w:r>
      <w:r w:rsidR="00424DFC" w:rsidRPr="00C54738">
        <w:rPr>
          <w:rStyle w:val="Ninguno"/>
          <w:rFonts w:ascii="Times New Roman" w:hAnsi="Times New Roman" w:cs="Times New Roman"/>
          <w:i/>
        </w:rPr>
        <w:t xml:space="preserve">Com. v. </w:t>
      </w:r>
      <w:r w:rsidR="00424DFC" w:rsidRPr="00C54738">
        <w:rPr>
          <w:rStyle w:val="Ninguno"/>
          <w:rFonts w:ascii="Times New Roman" w:hAnsi="Times New Roman" w:cs="Times New Roman"/>
          <w:i/>
          <w:lang w:val="it-IT"/>
        </w:rPr>
        <w:t>Nassar</w:t>
      </w:r>
      <w:r w:rsidR="00424DFC" w:rsidRPr="00C565E5">
        <w:rPr>
          <w:rStyle w:val="Ninguno"/>
          <w:rFonts w:ascii="Times New Roman" w:hAnsi="Times New Roman" w:cs="Times New Roman"/>
          <w:lang w:val="it-IT"/>
        </w:rPr>
        <w:t>, 380 Mass. 908, 917</w:t>
      </w:r>
      <w:r w:rsidR="00424DFC" w:rsidRPr="00C565E5">
        <w:rPr>
          <w:rStyle w:val="Ninguno"/>
          <w:rFonts w:ascii="Times New Roman" w:hAnsi="Times New Roman" w:cs="Times New Roman"/>
        </w:rPr>
        <w:t>–18 (1980)</w:t>
      </w:r>
      <w:r w:rsidR="0014065B">
        <w:rPr>
          <w:rStyle w:val="Ninguno"/>
          <w:rFonts w:ascii="Times New Roman" w:hAnsi="Times New Roman" w:cs="Times New Roman"/>
        </w:rPr>
        <w:t>,</w:t>
      </w:r>
      <w:r w:rsidR="00424DFC" w:rsidRPr="00C565E5">
        <w:rPr>
          <w:rStyle w:val="Ninguno"/>
          <w:rFonts w:ascii="Times New Roman" w:hAnsi="Times New Roman" w:cs="Times New Roman"/>
        </w:rPr>
        <w:t xml:space="preserve"> </w:t>
      </w:r>
      <w:r w:rsidR="008C1D99">
        <w:rPr>
          <w:rStyle w:val="Ninguno"/>
          <w:rFonts w:ascii="Times New Roman" w:hAnsi="Times New Roman" w:cs="Times New Roman"/>
        </w:rPr>
        <w:t>the Court stated that “…</w:t>
      </w:r>
      <w:r w:rsidR="00424DFC" w:rsidRPr="00C565E5">
        <w:rPr>
          <w:rStyle w:val="Ninguno"/>
          <w:rFonts w:ascii="Times New Roman" w:hAnsi="Times New Roman" w:cs="Times New Roman"/>
        </w:rPr>
        <w:t xml:space="preserve">all concerned in the law and its administration should strive to find the least burdensome or oppressive controls over the individual that are compatible with the fulfilment of the dual purposes of our statute, namely, protection of the person and others from physical harm </w:t>
      </w:r>
      <w:r w:rsidR="00424DFC" w:rsidRPr="00C565E5">
        <w:rPr>
          <w:rStyle w:val="Ninguno"/>
          <w:rFonts w:ascii="Times New Roman" w:hAnsi="Times New Roman" w:cs="Times New Roman"/>
        </w:rPr>
        <w:lastRenderedPageBreak/>
        <w:t>an</w:t>
      </w:r>
      <w:r w:rsidR="00844BA0">
        <w:rPr>
          <w:rStyle w:val="Ninguno"/>
          <w:rFonts w:ascii="Times New Roman" w:hAnsi="Times New Roman" w:cs="Times New Roman"/>
        </w:rPr>
        <w:t>d rehabilitation of the person"</w:t>
      </w:r>
      <w:r w:rsidR="00424DFC" w:rsidRPr="00C565E5">
        <w:rPr>
          <w:rStyle w:val="Ninguno"/>
          <w:rFonts w:ascii="Times New Roman" w:hAnsi="Times New Roman" w:cs="Times New Roman"/>
        </w:rPr>
        <w:t>.</w:t>
      </w:r>
      <w:r w:rsidR="00BD1584" w:rsidRPr="00C565E5">
        <w:rPr>
          <w:rStyle w:val="Ninguno"/>
          <w:rFonts w:ascii="Times New Roman" w:hAnsi="Times New Roman" w:cs="Times New Roman"/>
        </w:rPr>
        <w:t xml:space="preserve">  Thus, the constitutionally required “strict scrutiny” analysis applies to both forms of commitment</w:t>
      </w:r>
      <w:r w:rsidR="00BD1584" w:rsidRPr="00D17BFD">
        <w:rPr>
          <w:rStyle w:val="Ninguno"/>
          <w:rFonts w:ascii="Times New Roman" w:hAnsi="Times New Roman" w:cs="Times New Roman"/>
          <w:i/>
        </w:rPr>
        <w:t>.  See also</w:t>
      </w:r>
      <w:r w:rsidR="00BD1584" w:rsidRPr="00C565E5">
        <w:rPr>
          <w:rStyle w:val="Ninguno"/>
          <w:rFonts w:ascii="Times New Roman" w:hAnsi="Times New Roman" w:cs="Times New Roman"/>
        </w:rPr>
        <w:t xml:space="preserve"> </w:t>
      </w:r>
      <w:r w:rsidR="00BD1584" w:rsidRPr="00286D6E">
        <w:rPr>
          <w:rStyle w:val="Ninguno"/>
          <w:rFonts w:ascii="Times New Roman" w:hAnsi="Times New Roman" w:cs="Times New Roman"/>
          <w:i/>
        </w:rPr>
        <w:t>Matter of E.C.</w:t>
      </w:r>
      <w:r w:rsidR="00D17BFD" w:rsidRPr="00286D6E">
        <w:rPr>
          <w:rStyle w:val="Ninguno"/>
          <w:rFonts w:ascii="Times New Roman" w:hAnsi="Times New Roman" w:cs="Times New Roman"/>
          <w:i/>
        </w:rPr>
        <w:t xml:space="preserve">, </w:t>
      </w:r>
      <w:r w:rsidR="00D17BFD" w:rsidRPr="00CA6686">
        <w:rPr>
          <w:rStyle w:val="Ninguno"/>
          <w:rFonts w:ascii="Times New Roman" w:hAnsi="Times New Roman" w:cs="Times New Roman"/>
        </w:rPr>
        <w:t>479 Mass. 113</w:t>
      </w:r>
      <w:r w:rsidR="00286D6E" w:rsidRPr="00CA6686">
        <w:rPr>
          <w:rStyle w:val="Ninguno"/>
          <w:rFonts w:ascii="Times New Roman" w:hAnsi="Times New Roman" w:cs="Times New Roman"/>
        </w:rPr>
        <w:t>, 119</w:t>
      </w:r>
      <w:r w:rsidR="00417491" w:rsidRPr="00CA6686">
        <w:rPr>
          <w:rStyle w:val="Ninguno"/>
          <w:rFonts w:ascii="Times New Roman" w:hAnsi="Times New Roman" w:cs="Times New Roman"/>
        </w:rPr>
        <w:t xml:space="preserve"> (2018)</w:t>
      </w:r>
      <w:r w:rsidR="00417491">
        <w:rPr>
          <w:rStyle w:val="Ninguno"/>
          <w:rFonts w:ascii="Times New Roman" w:hAnsi="Times New Roman" w:cs="Times New Roman"/>
          <w:i/>
        </w:rPr>
        <w:t xml:space="preserve"> </w:t>
      </w:r>
      <w:r w:rsidR="00417491">
        <w:rPr>
          <w:rStyle w:val="Ninguno"/>
          <w:rFonts w:ascii="Times New Roman" w:hAnsi="Times New Roman" w:cs="Times New Roman"/>
        </w:rPr>
        <w:t>and</w:t>
      </w:r>
      <w:r w:rsidR="00286D6E">
        <w:rPr>
          <w:rStyle w:val="Ninguno"/>
          <w:rFonts w:ascii="Times New Roman" w:hAnsi="Times New Roman" w:cs="Times New Roman"/>
        </w:rPr>
        <w:t xml:space="preserve"> </w:t>
      </w:r>
      <w:proofErr w:type="spellStart"/>
      <w:r w:rsidR="00BD1584" w:rsidRPr="00286D6E">
        <w:rPr>
          <w:rStyle w:val="Ninguno"/>
          <w:rFonts w:ascii="Times New Roman" w:hAnsi="Times New Roman" w:cs="Times New Roman"/>
          <w:i/>
        </w:rPr>
        <w:t>Sharris</w:t>
      </w:r>
      <w:proofErr w:type="spellEnd"/>
      <w:r w:rsidR="00BD1584" w:rsidRPr="00286D6E">
        <w:rPr>
          <w:rStyle w:val="Ninguno"/>
          <w:rFonts w:ascii="Times New Roman" w:hAnsi="Times New Roman" w:cs="Times New Roman"/>
          <w:i/>
        </w:rPr>
        <w:t xml:space="preserve"> v. Co</w:t>
      </w:r>
      <w:r w:rsidR="000B736A" w:rsidRPr="00286D6E">
        <w:rPr>
          <w:rStyle w:val="Ninguno"/>
          <w:rFonts w:ascii="Times New Roman" w:hAnsi="Times New Roman" w:cs="Times New Roman"/>
          <w:i/>
        </w:rPr>
        <w:t>m</w:t>
      </w:r>
      <w:r w:rsidR="00417491">
        <w:rPr>
          <w:rStyle w:val="Ninguno"/>
          <w:rFonts w:ascii="Times New Roman" w:hAnsi="Times New Roman" w:cs="Times New Roman"/>
        </w:rPr>
        <w:t xml:space="preserve">, 480 </w:t>
      </w:r>
      <w:r w:rsidR="006A54B3">
        <w:rPr>
          <w:rStyle w:val="Ninguno"/>
          <w:rFonts w:ascii="Times New Roman" w:hAnsi="Times New Roman" w:cs="Times New Roman"/>
        </w:rPr>
        <w:t xml:space="preserve">Mass. </w:t>
      </w:r>
      <w:r w:rsidR="00417491">
        <w:rPr>
          <w:rStyle w:val="Ninguno"/>
          <w:rFonts w:ascii="Times New Roman" w:hAnsi="Times New Roman" w:cs="Times New Roman"/>
        </w:rPr>
        <w:t>586, 601-602 (2018</w:t>
      </w:r>
      <w:r w:rsidR="006A54B3">
        <w:rPr>
          <w:rStyle w:val="Ninguno"/>
          <w:rFonts w:ascii="Times New Roman" w:hAnsi="Times New Roman" w:cs="Times New Roman"/>
        </w:rPr>
        <w:t>) which both involved section 16 commitments for mental illness.</w:t>
      </w:r>
    </w:p>
    <w:p w14:paraId="039549A0" w14:textId="7105D680" w:rsidR="006D3F39" w:rsidRPr="00C565E5" w:rsidRDefault="00AE7964" w:rsidP="00F915DB">
      <w:pPr>
        <w:pStyle w:val="Cuerpo"/>
        <w:spacing w:line="480" w:lineRule="auto"/>
        <w:ind w:firstLine="360"/>
        <w:rPr>
          <w:rStyle w:val="Ninguno"/>
          <w:rFonts w:ascii="Times New Roman" w:hAnsi="Times New Roman" w:cs="Times New Roman"/>
          <w:color w:val="auto"/>
        </w:rPr>
      </w:pPr>
      <w:r w:rsidRPr="00C565E5">
        <w:rPr>
          <w:rStyle w:val="Ninguno"/>
          <w:rFonts w:ascii="Times New Roman" w:hAnsi="Times New Roman" w:cs="Times New Roman"/>
        </w:rPr>
        <w:t>In addition, both types of commitments require a finding that the Respondent presents an imminent “likelihood of serious harm”</w:t>
      </w:r>
      <w:r w:rsidR="0025740F" w:rsidRPr="00C565E5">
        <w:rPr>
          <w:rStyle w:val="Ninguno"/>
          <w:rFonts w:ascii="Times New Roman" w:hAnsi="Times New Roman" w:cs="Times New Roman"/>
        </w:rPr>
        <w:t xml:space="preserve"> if not committed</w:t>
      </w:r>
      <w:r w:rsidR="00B24420">
        <w:rPr>
          <w:rStyle w:val="Ninguno"/>
          <w:rFonts w:ascii="Times New Roman" w:hAnsi="Times New Roman" w:cs="Times New Roman"/>
        </w:rPr>
        <w:t>, employing</w:t>
      </w:r>
      <w:r w:rsidR="0025740F" w:rsidRPr="00C565E5">
        <w:rPr>
          <w:rStyle w:val="Ninguno"/>
          <w:rFonts w:ascii="Times New Roman" w:hAnsi="Times New Roman" w:cs="Times New Roman"/>
        </w:rPr>
        <w:t xml:space="preserve"> </w:t>
      </w:r>
      <w:r w:rsidRPr="00C565E5">
        <w:rPr>
          <w:rStyle w:val="Ninguno"/>
          <w:rFonts w:ascii="Times New Roman" w:hAnsi="Times New Roman" w:cs="Times New Roman"/>
        </w:rPr>
        <w:t>the same statutory definition</w:t>
      </w:r>
      <w:r w:rsidR="0050632C">
        <w:rPr>
          <w:rStyle w:val="Ninguno"/>
          <w:rFonts w:ascii="Times New Roman" w:hAnsi="Times New Roman" w:cs="Times New Roman"/>
        </w:rPr>
        <w:t xml:space="preserve">, </w:t>
      </w:r>
      <w:r w:rsidRPr="00C565E5">
        <w:rPr>
          <w:rStyle w:val="Ninguno"/>
          <w:rFonts w:ascii="Times New Roman" w:hAnsi="Times New Roman" w:cs="Times New Roman"/>
        </w:rPr>
        <w:t xml:space="preserve">found at G.L. c. 123, </w:t>
      </w:r>
      <w:r w:rsidR="00173398">
        <w:rPr>
          <w:rStyle w:val="Ninguno"/>
          <w:rFonts w:ascii="Times New Roman" w:hAnsi="Times New Roman" w:cs="Times New Roman"/>
        </w:rPr>
        <w:t>§</w:t>
      </w:r>
      <w:r w:rsidRPr="00C565E5">
        <w:rPr>
          <w:rStyle w:val="Ninguno"/>
          <w:rFonts w:ascii="Times New Roman" w:hAnsi="Times New Roman" w:cs="Times New Roman"/>
        </w:rPr>
        <w:t>1.  As a result</w:t>
      </w:r>
      <w:r w:rsidR="00EF6D77" w:rsidRPr="00C565E5">
        <w:rPr>
          <w:rStyle w:val="Ninguno"/>
          <w:rFonts w:ascii="Times New Roman" w:hAnsi="Times New Roman" w:cs="Times New Roman"/>
        </w:rPr>
        <w:t>,</w:t>
      </w:r>
      <w:r w:rsidRPr="00C565E5">
        <w:rPr>
          <w:rStyle w:val="Ninguno"/>
          <w:rFonts w:ascii="Times New Roman" w:hAnsi="Times New Roman" w:cs="Times New Roman"/>
        </w:rPr>
        <w:t xml:space="preserve"> the body of case law that has developed around the nature and extent of </w:t>
      </w:r>
      <w:r w:rsidR="006764E4">
        <w:rPr>
          <w:rStyle w:val="Ninguno"/>
          <w:rFonts w:ascii="Times New Roman" w:hAnsi="Times New Roman" w:cs="Times New Roman"/>
        </w:rPr>
        <w:t xml:space="preserve">evidence required to prove a “likelihood of serious harm” </w:t>
      </w:r>
      <w:r w:rsidRPr="00C565E5">
        <w:rPr>
          <w:rStyle w:val="Ninguno"/>
          <w:rFonts w:ascii="Times New Roman" w:hAnsi="Times New Roman" w:cs="Times New Roman"/>
        </w:rPr>
        <w:t>is a shared body of case</w:t>
      </w:r>
      <w:r w:rsidR="00EF6D77" w:rsidRPr="00C565E5">
        <w:rPr>
          <w:rStyle w:val="Ninguno"/>
          <w:rFonts w:ascii="Times New Roman" w:hAnsi="Times New Roman" w:cs="Times New Roman"/>
        </w:rPr>
        <w:t xml:space="preserve"> </w:t>
      </w:r>
      <w:r w:rsidRPr="00C565E5">
        <w:rPr>
          <w:rStyle w:val="Ninguno"/>
          <w:rFonts w:ascii="Times New Roman" w:hAnsi="Times New Roman" w:cs="Times New Roman"/>
        </w:rPr>
        <w:t>law</w:t>
      </w:r>
      <w:r w:rsidR="00EF6D77" w:rsidRPr="00C565E5">
        <w:rPr>
          <w:rStyle w:val="Ninguno"/>
          <w:rFonts w:ascii="Times New Roman" w:hAnsi="Times New Roman" w:cs="Times New Roman"/>
        </w:rPr>
        <w:t xml:space="preserve"> that applies equally to both types of commitments</w:t>
      </w:r>
      <w:r w:rsidRPr="00C565E5">
        <w:rPr>
          <w:rStyle w:val="Ninguno"/>
          <w:rFonts w:ascii="Times New Roman" w:hAnsi="Times New Roman" w:cs="Times New Roman"/>
        </w:rPr>
        <w:t xml:space="preserve">.  </w:t>
      </w:r>
      <w:r w:rsidRPr="00F915DB">
        <w:rPr>
          <w:rStyle w:val="Ninguno"/>
          <w:rFonts w:ascii="Times New Roman" w:hAnsi="Times New Roman" w:cs="Times New Roman"/>
          <w:i/>
        </w:rPr>
        <w:t>See</w:t>
      </w:r>
      <w:r w:rsidRPr="00C565E5">
        <w:rPr>
          <w:rStyle w:val="Ninguno"/>
          <w:rFonts w:ascii="Times New Roman" w:hAnsi="Times New Roman" w:cs="Times New Roman"/>
        </w:rPr>
        <w:t>,</w:t>
      </w:r>
      <w:r w:rsidR="00A626AC" w:rsidRPr="00C565E5">
        <w:rPr>
          <w:rStyle w:val="Ninguno"/>
          <w:rFonts w:ascii="Times New Roman" w:hAnsi="Times New Roman" w:cs="Times New Roman"/>
        </w:rPr>
        <w:t xml:space="preserve"> </w:t>
      </w:r>
      <w:r w:rsidR="00A626AC" w:rsidRPr="00F915DB">
        <w:rPr>
          <w:rStyle w:val="Ninguno"/>
          <w:rFonts w:ascii="Times New Roman" w:hAnsi="Times New Roman" w:cs="Times New Roman"/>
          <w:i/>
        </w:rPr>
        <w:t>e.g</w:t>
      </w:r>
      <w:r w:rsidR="00A626AC" w:rsidRPr="00C565E5">
        <w:rPr>
          <w:rStyle w:val="Ninguno"/>
          <w:rFonts w:ascii="Times New Roman" w:hAnsi="Times New Roman" w:cs="Times New Roman"/>
        </w:rPr>
        <w:t>.</w:t>
      </w:r>
      <w:r w:rsidRPr="00C565E5">
        <w:rPr>
          <w:rStyle w:val="Ninguno"/>
          <w:rFonts w:ascii="Times New Roman" w:hAnsi="Times New Roman" w:cs="Times New Roman"/>
        </w:rPr>
        <w:t xml:space="preserve"> </w:t>
      </w:r>
      <w:r w:rsidR="00AA503D" w:rsidRPr="006E6D3D">
        <w:rPr>
          <w:rStyle w:val="Ninguno"/>
          <w:rFonts w:ascii="Times New Roman" w:hAnsi="Times New Roman" w:cs="Times New Roman"/>
          <w:i/>
        </w:rPr>
        <w:t>Matter of G.P.,</w:t>
      </w:r>
      <w:r w:rsidR="00AA503D" w:rsidRPr="00C565E5">
        <w:rPr>
          <w:rStyle w:val="Ninguno"/>
          <w:rFonts w:ascii="Times New Roman" w:hAnsi="Times New Roman" w:cs="Times New Roman"/>
        </w:rPr>
        <w:t xml:space="preserve"> 473 Mass. 112 (2015)</w:t>
      </w:r>
      <w:r w:rsidR="00457EE0">
        <w:rPr>
          <w:rStyle w:val="Ninguno"/>
          <w:rFonts w:ascii="Times New Roman" w:hAnsi="Times New Roman" w:cs="Times New Roman"/>
        </w:rPr>
        <w:t xml:space="preserve"> </w:t>
      </w:r>
      <w:r w:rsidR="00A626AC" w:rsidRPr="00C565E5">
        <w:rPr>
          <w:rStyle w:val="Ninguno"/>
          <w:rFonts w:ascii="Times New Roman" w:hAnsi="Times New Roman" w:cs="Times New Roman"/>
        </w:rPr>
        <w:t xml:space="preserve">(section 35 case holding that “likelihood of serious harm” must be imminent and further defining type of proof required); </w:t>
      </w:r>
      <w:r w:rsidR="00AA503D" w:rsidRPr="008A7AE8">
        <w:rPr>
          <w:rStyle w:val="Ninguno"/>
          <w:rFonts w:ascii="Times New Roman" w:hAnsi="Times New Roman" w:cs="Times New Roman"/>
          <w:i/>
        </w:rPr>
        <w:t>Matter of M.C.</w:t>
      </w:r>
      <w:r w:rsidR="00AA503D" w:rsidRPr="008A7AE8">
        <w:rPr>
          <w:rStyle w:val="Ninguno"/>
          <w:rFonts w:ascii="Times New Roman" w:hAnsi="Times New Roman" w:cs="Times New Roman"/>
          <w:i/>
          <w:lang w:val="it-IT"/>
        </w:rPr>
        <w:t>,</w:t>
      </w:r>
      <w:r w:rsidR="00AA503D" w:rsidRPr="00C565E5">
        <w:rPr>
          <w:rStyle w:val="Ninguno"/>
          <w:rFonts w:ascii="Times New Roman" w:hAnsi="Times New Roman" w:cs="Times New Roman"/>
          <w:lang w:val="it-IT"/>
        </w:rPr>
        <w:t xml:space="preserve"> 481 Mass. </w:t>
      </w:r>
      <w:r w:rsidR="00756466">
        <w:rPr>
          <w:rStyle w:val="Ninguno"/>
          <w:rFonts w:ascii="Times New Roman" w:hAnsi="Times New Roman" w:cs="Times New Roman"/>
          <w:lang w:val="it-IT"/>
        </w:rPr>
        <w:t>336,</w:t>
      </w:r>
      <w:r w:rsidR="00AA503D" w:rsidRPr="00C565E5">
        <w:rPr>
          <w:rStyle w:val="Ninguno"/>
          <w:rFonts w:ascii="Times New Roman" w:hAnsi="Times New Roman" w:cs="Times New Roman"/>
          <w:lang w:val="ru-RU"/>
        </w:rPr>
        <w:t xml:space="preserve"> 346</w:t>
      </w:r>
      <w:r w:rsidR="00AA503D" w:rsidRPr="00C565E5">
        <w:rPr>
          <w:rStyle w:val="Ninguno"/>
          <w:rFonts w:ascii="Times New Roman" w:hAnsi="Times New Roman" w:cs="Times New Roman"/>
        </w:rPr>
        <w:t xml:space="preserve"> </w:t>
      </w:r>
      <w:r w:rsidR="00356153" w:rsidRPr="00C565E5">
        <w:rPr>
          <w:rStyle w:val="Ninguno"/>
          <w:rFonts w:ascii="Times New Roman" w:hAnsi="Times New Roman" w:cs="Times New Roman"/>
          <w:i/>
        </w:rPr>
        <w:t>(</w:t>
      </w:r>
      <w:r w:rsidR="00301371" w:rsidRPr="00C565E5">
        <w:rPr>
          <w:rStyle w:val="Ninguno"/>
          <w:rFonts w:ascii="Times New Roman" w:hAnsi="Times New Roman" w:cs="Times New Roman"/>
        </w:rPr>
        <w:t xml:space="preserve">section 16 case </w:t>
      </w:r>
      <w:r w:rsidR="00AA503D" w:rsidRPr="00C565E5">
        <w:rPr>
          <w:rStyle w:val="Ninguno"/>
          <w:rFonts w:ascii="Times New Roman" w:hAnsi="Times New Roman" w:cs="Times New Roman"/>
        </w:rPr>
        <w:t xml:space="preserve">citing </w:t>
      </w:r>
      <w:r w:rsidR="00301371" w:rsidRPr="00C565E5">
        <w:rPr>
          <w:rStyle w:val="Ninguno"/>
          <w:rFonts w:ascii="Times New Roman" w:hAnsi="Times New Roman" w:cs="Times New Roman"/>
        </w:rPr>
        <w:t xml:space="preserve">to </w:t>
      </w:r>
      <w:r w:rsidR="00AA503D" w:rsidRPr="00311A4A">
        <w:rPr>
          <w:rStyle w:val="Ninguno"/>
          <w:rFonts w:ascii="Times New Roman" w:hAnsi="Times New Roman" w:cs="Times New Roman"/>
          <w:i/>
        </w:rPr>
        <w:t>Matter of G.P</w:t>
      </w:r>
      <w:r w:rsidR="00AA503D" w:rsidRPr="00C565E5">
        <w:rPr>
          <w:rStyle w:val="Ninguno"/>
          <w:rFonts w:ascii="Times New Roman" w:hAnsi="Times New Roman" w:cs="Times New Roman"/>
          <w:u w:val="single"/>
        </w:rPr>
        <w:t>.</w:t>
      </w:r>
      <w:r w:rsidR="00AA503D" w:rsidRPr="00C565E5">
        <w:rPr>
          <w:rStyle w:val="Ninguno"/>
          <w:rFonts w:ascii="Times New Roman" w:hAnsi="Times New Roman" w:cs="Times New Roman"/>
        </w:rPr>
        <w:t xml:space="preserve"> </w:t>
      </w:r>
      <w:r w:rsidR="00301371" w:rsidRPr="00C565E5">
        <w:rPr>
          <w:rStyle w:val="Ninguno"/>
          <w:rFonts w:ascii="Times New Roman" w:hAnsi="Times New Roman" w:cs="Times New Roman"/>
        </w:rPr>
        <w:t xml:space="preserve">for meaning of “likelihood of serious harm”); </w:t>
      </w:r>
      <w:r w:rsidR="00AA503D" w:rsidRPr="00756466">
        <w:rPr>
          <w:rStyle w:val="Ninguno"/>
          <w:rFonts w:ascii="Times New Roman" w:hAnsi="Times New Roman" w:cs="Times New Roman"/>
          <w:i/>
        </w:rPr>
        <w:t>Matter of D.K.</w:t>
      </w:r>
      <w:r w:rsidR="00AA503D" w:rsidRPr="00C565E5">
        <w:rPr>
          <w:rStyle w:val="Ninguno"/>
          <w:rFonts w:ascii="Times New Roman" w:hAnsi="Times New Roman" w:cs="Times New Roman"/>
        </w:rPr>
        <w:t xml:space="preserve">, 95 Mass. App. Ct. 95, 100-101 (2019) </w:t>
      </w:r>
      <w:r w:rsidR="00356153" w:rsidRPr="00C565E5">
        <w:rPr>
          <w:rStyle w:val="Ninguno"/>
          <w:rFonts w:ascii="Times New Roman" w:hAnsi="Times New Roman" w:cs="Times New Roman"/>
        </w:rPr>
        <w:t>(</w:t>
      </w:r>
      <w:r w:rsidR="00301371" w:rsidRPr="00C565E5">
        <w:rPr>
          <w:rStyle w:val="Ninguno"/>
          <w:rFonts w:ascii="Times New Roman" w:hAnsi="Times New Roman" w:cs="Times New Roman"/>
        </w:rPr>
        <w:t>section 16 case citing</w:t>
      </w:r>
      <w:r w:rsidR="00AA503D" w:rsidRPr="00C565E5">
        <w:rPr>
          <w:rStyle w:val="Ninguno"/>
          <w:rFonts w:ascii="Times New Roman" w:hAnsi="Times New Roman" w:cs="Times New Roman"/>
        </w:rPr>
        <w:t xml:space="preserve"> </w:t>
      </w:r>
      <w:r w:rsidR="00AA503D" w:rsidRPr="00BC35C6">
        <w:rPr>
          <w:rStyle w:val="Ninguno"/>
          <w:rFonts w:ascii="Times New Roman" w:hAnsi="Times New Roman" w:cs="Times New Roman"/>
          <w:i/>
        </w:rPr>
        <w:t>Matter of G.P.</w:t>
      </w:r>
      <w:r w:rsidR="00AA503D" w:rsidRPr="00C565E5">
        <w:rPr>
          <w:rStyle w:val="Ninguno"/>
          <w:rFonts w:ascii="Times New Roman" w:hAnsi="Times New Roman" w:cs="Times New Roman"/>
        </w:rPr>
        <w:t xml:space="preserve"> </w:t>
      </w:r>
      <w:r w:rsidR="00301371" w:rsidRPr="00C565E5">
        <w:rPr>
          <w:rStyle w:val="Ninguno"/>
          <w:rFonts w:ascii="Times New Roman" w:hAnsi="Times New Roman" w:cs="Times New Roman"/>
        </w:rPr>
        <w:t>“imminence” requirements</w:t>
      </w:r>
      <w:r w:rsidR="00C45D05">
        <w:rPr>
          <w:rStyle w:val="Ninguno"/>
          <w:rFonts w:ascii="Times New Roman" w:hAnsi="Times New Roman" w:cs="Times New Roman"/>
        </w:rPr>
        <w:t>.</w:t>
      </w:r>
      <w:r w:rsidR="00C42BFE" w:rsidRPr="00C565E5">
        <w:rPr>
          <w:rStyle w:val="Ninguno"/>
          <w:rFonts w:ascii="Times New Roman" w:hAnsi="Times New Roman" w:cs="Times New Roman"/>
        </w:rPr>
        <w:t>)</w:t>
      </w:r>
      <w:r w:rsidR="00C45D05">
        <w:rPr>
          <w:rStyle w:val="Ninguno"/>
          <w:rFonts w:ascii="Times New Roman" w:hAnsi="Times New Roman" w:cs="Times New Roman"/>
        </w:rPr>
        <w:t xml:space="preserve">  Whether the cause of the likelihood of serious harm is mental illness or alcohol</w:t>
      </w:r>
      <w:r w:rsidR="00DF4C46">
        <w:rPr>
          <w:rStyle w:val="Ninguno"/>
          <w:rFonts w:ascii="Times New Roman" w:hAnsi="Times New Roman" w:cs="Times New Roman"/>
        </w:rPr>
        <w:t>/ substance</w:t>
      </w:r>
      <w:r w:rsidR="00C45D05">
        <w:rPr>
          <w:rStyle w:val="Ninguno"/>
          <w:rFonts w:ascii="Times New Roman" w:hAnsi="Times New Roman" w:cs="Times New Roman"/>
        </w:rPr>
        <w:t xml:space="preserve"> use disorder, the compelling government interest in commitment is the same, </w:t>
      </w:r>
      <w:r w:rsidR="00C45D05" w:rsidRPr="00F838F1">
        <w:rPr>
          <w:rStyle w:val="Ninguno"/>
          <w:rFonts w:ascii="Times New Roman" w:hAnsi="Times New Roman" w:cs="Times New Roman"/>
          <w:i/>
        </w:rPr>
        <w:t xml:space="preserve">i.e. </w:t>
      </w:r>
      <w:r w:rsidR="00C45D05">
        <w:rPr>
          <w:rStyle w:val="Ninguno"/>
          <w:rFonts w:ascii="Times New Roman" w:hAnsi="Times New Roman" w:cs="Times New Roman"/>
        </w:rPr>
        <w:t>involuntary civil commitment to preve</w:t>
      </w:r>
      <w:r w:rsidR="00F838F1">
        <w:rPr>
          <w:rStyle w:val="Ninguno"/>
          <w:rFonts w:ascii="Times New Roman" w:hAnsi="Times New Roman" w:cs="Times New Roman"/>
        </w:rPr>
        <w:t xml:space="preserve">nt a likelihood of serious harm.  Since the compelling government interest is the same, the limitations placed on the curtailment of liberty to achieve that interest set forth in </w:t>
      </w:r>
      <w:r w:rsidR="00F838F1" w:rsidRPr="001D4BE5">
        <w:rPr>
          <w:rStyle w:val="Ninguno"/>
          <w:rFonts w:ascii="Times New Roman" w:hAnsi="Times New Roman" w:cs="Times New Roman"/>
          <w:i/>
        </w:rPr>
        <w:t>Foster I</w:t>
      </w:r>
      <w:r w:rsidR="00F838F1">
        <w:rPr>
          <w:rStyle w:val="Ninguno"/>
          <w:rFonts w:ascii="Times New Roman" w:hAnsi="Times New Roman" w:cs="Times New Roman"/>
        </w:rPr>
        <w:t xml:space="preserve"> apply with equal force to civil commitments </w:t>
      </w:r>
      <w:r w:rsidR="00A57F56">
        <w:rPr>
          <w:rStyle w:val="Ninguno"/>
          <w:rFonts w:ascii="Times New Roman" w:hAnsi="Times New Roman" w:cs="Times New Roman"/>
        </w:rPr>
        <w:t xml:space="preserve">to congregate facilities </w:t>
      </w:r>
      <w:r w:rsidR="00F838F1">
        <w:rPr>
          <w:rStyle w:val="Ninguno"/>
          <w:rFonts w:ascii="Times New Roman" w:hAnsi="Times New Roman" w:cs="Times New Roman"/>
        </w:rPr>
        <w:t xml:space="preserve">for mental illness.  </w:t>
      </w:r>
      <w:r w:rsidR="00A57F56">
        <w:rPr>
          <w:rStyle w:val="Ninguno"/>
          <w:rFonts w:ascii="Times New Roman" w:hAnsi="Times New Roman" w:cs="Times New Roman"/>
        </w:rPr>
        <w:t xml:space="preserve"> </w:t>
      </w:r>
    </w:p>
    <w:p w14:paraId="160A9F6E" w14:textId="683C3139" w:rsidR="00B75D8D" w:rsidRPr="00247CDE" w:rsidRDefault="001A7FDF" w:rsidP="00247CDE">
      <w:pPr>
        <w:pStyle w:val="Cuerpo"/>
        <w:numPr>
          <w:ilvl w:val="0"/>
          <w:numId w:val="30"/>
        </w:numPr>
        <w:rPr>
          <w:rStyle w:val="Ninguno"/>
          <w:rFonts w:ascii="Times New Roman" w:hAnsi="Times New Roman" w:cs="Times New Roman"/>
          <w:b/>
          <w:u w:val="single"/>
          <w:shd w:val="clear" w:color="auto" w:fill="FFFFFF"/>
        </w:rPr>
      </w:pPr>
      <w:r w:rsidRPr="00247CDE">
        <w:rPr>
          <w:rStyle w:val="Ninguno"/>
          <w:rFonts w:ascii="Times New Roman" w:hAnsi="Times New Roman" w:cs="Times New Roman"/>
          <w:b/>
          <w:u w:val="single"/>
          <w:shd w:val="clear" w:color="auto" w:fill="FFFFFF"/>
        </w:rPr>
        <w:t xml:space="preserve">RESPONDENT’S COMMITMENT </w:t>
      </w:r>
      <w:r w:rsidR="003F7918" w:rsidRPr="00247CDE">
        <w:rPr>
          <w:rStyle w:val="Ninguno"/>
          <w:rFonts w:ascii="Times New Roman" w:hAnsi="Times New Roman" w:cs="Times New Roman"/>
          <w:b/>
          <w:u w:val="single"/>
          <w:shd w:val="clear" w:color="auto" w:fill="FFFFFF"/>
        </w:rPr>
        <w:t xml:space="preserve">CANNOT BE </w:t>
      </w:r>
      <w:r w:rsidRPr="00247CDE">
        <w:rPr>
          <w:rStyle w:val="Ninguno"/>
          <w:rFonts w:ascii="Times New Roman" w:hAnsi="Times New Roman" w:cs="Times New Roman"/>
          <w:b/>
          <w:u w:val="single"/>
          <w:shd w:val="clear" w:color="auto" w:fill="FFFFFF"/>
        </w:rPr>
        <w:t>ORDERED WITHOUT</w:t>
      </w:r>
      <w:r w:rsidR="003F7918" w:rsidRPr="00247CDE">
        <w:rPr>
          <w:rStyle w:val="Ninguno"/>
          <w:rFonts w:ascii="Times New Roman" w:hAnsi="Times New Roman" w:cs="Times New Roman"/>
          <w:b/>
          <w:u w:val="single"/>
          <w:shd w:val="clear" w:color="auto" w:fill="FFFFFF"/>
        </w:rPr>
        <w:t xml:space="preserve"> </w:t>
      </w:r>
      <w:r w:rsidRPr="00247CDE">
        <w:rPr>
          <w:rStyle w:val="Ninguno"/>
          <w:rFonts w:ascii="Times New Roman" w:hAnsi="Times New Roman" w:cs="Times New Roman"/>
          <w:b/>
          <w:u w:val="single"/>
          <w:shd w:val="clear" w:color="auto" w:fill="FFFFFF"/>
        </w:rPr>
        <w:t xml:space="preserve">CONSIDERATION OF THE FACTORS SET FORTH IN </w:t>
      </w:r>
      <w:r w:rsidRPr="00247CDE">
        <w:rPr>
          <w:rStyle w:val="Ninguno"/>
          <w:rFonts w:ascii="Times New Roman" w:hAnsi="Times New Roman" w:cs="Times New Roman"/>
          <w:b/>
          <w:i/>
          <w:u w:val="single"/>
          <w:shd w:val="clear" w:color="auto" w:fill="FFFFFF"/>
        </w:rPr>
        <w:t>FOSTER I</w:t>
      </w:r>
      <w:r w:rsidRPr="00247CDE">
        <w:rPr>
          <w:rStyle w:val="Ninguno"/>
          <w:rFonts w:ascii="Times New Roman" w:hAnsi="Times New Roman" w:cs="Times New Roman"/>
          <w:b/>
          <w:u w:val="single"/>
          <w:shd w:val="clear" w:color="auto" w:fill="FFFFFF"/>
        </w:rPr>
        <w:t xml:space="preserve"> </w:t>
      </w:r>
    </w:p>
    <w:p w14:paraId="5B9B294B" w14:textId="77777777" w:rsidR="003F7918" w:rsidRPr="00C565E5" w:rsidRDefault="003F7918" w:rsidP="003F0CBA">
      <w:pPr>
        <w:pStyle w:val="Cuerpo"/>
        <w:rPr>
          <w:rStyle w:val="Ninguno"/>
          <w:rFonts w:ascii="Times New Roman" w:hAnsi="Times New Roman" w:cs="Times New Roman"/>
          <w:shd w:val="clear" w:color="auto" w:fill="FFFFFF"/>
        </w:rPr>
      </w:pPr>
    </w:p>
    <w:p w14:paraId="66A04F81" w14:textId="0524F844" w:rsidR="00927B2E" w:rsidRPr="00D556A1" w:rsidRDefault="00363DD5" w:rsidP="003F79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80" w:lineRule="auto"/>
        <w:ind w:firstLine="720"/>
        <w:rPr>
          <w:rStyle w:val="Ninguno"/>
          <w:rFonts w:eastAsia="Times New Roman"/>
          <w:i/>
          <w:color w:val="000000"/>
          <w:bdr w:val="none" w:sz="0" w:space="0" w:color="auto"/>
        </w:rPr>
      </w:pPr>
      <w:r w:rsidRPr="00C565E5">
        <w:rPr>
          <w:rStyle w:val="Ninguno"/>
        </w:rPr>
        <w:t>As noted above, t</w:t>
      </w:r>
      <w:r w:rsidR="0018789A" w:rsidRPr="00C565E5">
        <w:rPr>
          <w:rStyle w:val="Ninguno"/>
        </w:rPr>
        <w:t xml:space="preserve">he SJC </w:t>
      </w:r>
      <w:r w:rsidRPr="00C565E5">
        <w:rPr>
          <w:rStyle w:val="Ninguno"/>
        </w:rPr>
        <w:t xml:space="preserve">in </w:t>
      </w:r>
      <w:r w:rsidRPr="00357C1B">
        <w:rPr>
          <w:rStyle w:val="Ninguno"/>
          <w:i/>
        </w:rPr>
        <w:t>Foster I</w:t>
      </w:r>
      <w:r w:rsidRPr="00C565E5">
        <w:rPr>
          <w:rStyle w:val="Ninguno"/>
          <w:i/>
        </w:rPr>
        <w:t xml:space="preserve"> </w:t>
      </w:r>
      <w:r w:rsidR="0018789A" w:rsidRPr="00C565E5">
        <w:rPr>
          <w:rStyle w:val="Ninguno"/>
        </w:rPr>
        <w:t xml:space="preserve">determined that "current orders of commitment may have been made without consideration of the crisis currently ravaging the planet." </w:t>
      </w:r>
      <w:r w:rsidR="00927B2E" w:rsidRPr="00D556A1">
        <w:rPr>
          <w:rFonts w:eastAsia="Times New Roman"/>
          <w:i/>
          <w:color w:val="000000"/>
          <w:u w:val="single"/>
          <w:bdr w:val="none" w:sz="0" w:space="0" w:color="auto"/>
        </w:rPr>
        <w:t xml:space="preserve">Foster v. </w:t>
      </w:r>
      <w:proofErr w:type="spellStart"/>
      <w:r w:rsidR="00927B2E" w:rsidRPr="00D556A1">
        <w:rPr>
          <w:rFonts w:eastAsia="Times New Roman"/>
          <w:i/>
          <w:color w:val="000000"/>
          <w:u w:val="single"/>
          <w:bdr w:val="none" w:sz="0" w:space="0" w:color="auto"/>
        </w:rPr>
        <w:t>Commr</w:t>
      </w:r>
      <w:proofErr w:type="spellEnd"/>
      <w:r w:rsidR="00927B2E" w:rsidRPr="00D556A1">
        <w:rPr>
          <w:rFonts w:eastAsia="Times New Roman"/>
          <w:i/>
          <w:color w:val="000000"/>
          <w:u w:val="single"/>
          <w:bdr w:val="none" w:sz="0" w:space="0" w:color="auto"/>
        </w:rPr>
        <w:t>. of Correction</w:t>
      </w:r>
      <w:r w:rsidR="00927B2E" w:rsidRPr="00D556A1">
        <w:rPr>
          <w:rFonts w:eastAsia="Times New Roman"/>
          <w:i/>
          <w:color w:val="000000"/>
          <w:bdr w:val="none" w:sz="0" w:space="0" w:color="auto"/>
        </w:rPr>
        <w:t xml:space="preserve">, </w:t>
      </w:r>
      <w:r w:rsidR="00927B2E" w:rsidRPr="00D556A1">
        <w:rPr>
          <w:rFonts w:eastAsia="Times New Roman"/>
          <w:color w:val="000000"/>
          <w:bdr w:val="none" w:sz="0" w:space="0" w:color="auto"/>
        </w:rPr>
        <w:t>484 Mass. 698 at *21 (2020)</w:t>
      </w:r>
      <w:r w:rsidR="00927B2E">
        <w:rPr>
          <w:rFonts w:eastAsia="Times New Roman"/>
          <w:color w:val="000000"/>
          <w:bdr w:val="none" w:sz="0" w:space="0" w:color="auto"/>
        </w:rPr>
        <w:t>.</w:t>
      </w:r>
    </w:p>
    <w:p w14:paraId="1D8B8F81" w14:textId="6BB802C1" w:rsidR="0018789A" w:rsidRPr="00C565E5" w:rsidRDefault="0018789A" w:rsidP="00497F3D">
      <w:pPr>
        <w:pStyle w:val="NoSpacing"/>
        <w:spacing w:line="480" w:lineRule="auto"/>
        <w:ind w:firstLine="720"/>
        <w:rPr>
          <w:rStyle w:val="Ninguno"/>
          <w:rFonts w:ascii="Times New Roman" w:hAnsi="Times New Roman" w:cs="Times New Roman"/>
          <w:sz w:val="24"/>
          <w:szCs w:val="24"/>
        </w:rPr>
      </w:pPr>
      <w:r w:rsidRPr="00C565E5">
        <w:rPr>
          <w:rStyle w:val="Ninguno"/>
          <w:rFonts w:ascii="Times New Roman" w:hAnsi="Times New Roman" w:cs="Times New Roman"/>
          <w:sz w:val="24"/>
          <w:szCs w:val="24"/>
        </w:rPr>
        <w:lastRenderedPageBreak/>
        <w:t xml:space="preserve">With regard to those currently committed, it held that the risks of COVID-19 transmission constitute “a material change in circumstances with regard to any order of commitment currently in effect" and that “individuals committed pursuant to G. L. c. 123, § 35, at the time of the issuance of the slip opinion in this case may file a motion for reconsideration of the commitment order." </w:t>
      </w:r>
      <w:r w:rsidRPr="001E224B">
        <w:rPr>
          <w:rStyle w:val="Ninguno"/>
          <w:rFonts w:ascii="Times New Roman" w:hAnsi="Times New Roman" w:cs="Times New Roman"/>
          <w:i/>
          <w:sz w:val="24"/>
          <w:szCs w:val="24"/>
        </w:rPr>
        <w:t>Id.</w:t>
      </w:r>
      <w:r w:rsidRPr="001E224B">
        <w:rPr>
          <w:rStyle w:val="Ninguno"/>
          <w:rFonts w:ascii="Times New Roman" w:hAnsi="Times New Roman" w:cs="Times New Roman"/>
          <w:sz w:val="24"/>
          <w:szCs w:val="24"/>
        </w:rPr>
        <w:t xml:space="preserve">  </w:t>
      </w:r>
      <w:r w:rsidRPr="00C565E5">
        <w:rPr>
          <w:rStyle w:val="Ninguno"/>
          <w:rFonts w:ascii="Times New Roman" w:hAnsi="Times New Roman" w:cs="Times New Roman"/>
          <w:sz w:val="24"/>
          <w:szCs w:val="24"/>
        </w:rPr>
        <w:t xml:space="preserve">When such motions for reconsideration are filed, the SJC held that "hearings shall take place by videoconference or teleconference no later than two business days after the filing of the motion," and a "decision on the motion shall be rendered promptly." </w:t>
      </w:r>
      <w:r w:rsidRPr="00E375C3">
        <w:rPr>
          <w:rStyle w:val="Ninguno"/>
          <w:rFonts w:ascii="Times New Roman" w:hAnsi="Times New Roman" w:cs="Times New Roman"/>
          <w:i/>
          <w:sz w:val="24"/>
          <w:szCs w:val="24"/>
        </w:rPr>
        <w:t>Id.</w:t>
      </w:r>
      <w:r w:rsidRPr="00C565E5">
        <w:rPr>
          <w:rStyle w:val="Ninguno"/>
          <w:rFonts w:ascii="Times New Roman" w:hAnsi="Times New Roman" w:cs="Times New Roman"/>
          <w:sz w:val="24"/>
          <w:szCs w:val="24"/>
        </w:rPr>
        <w:t xml:space="preserve"> </w:t>
      </w:r>
    </w:p>
    <w:p w14:paraId="621809DD" w14:textId="33BC3F8B" w:rsidR="00232EF1" w:rsidRPr="00194EFB" w:rsidRDefault="003F7918" w:rsidP="00E43F01">
      <w:pPr>
        <w:pStyle w:val="Cuerpo"/>
        <w:spacing w:line="480" w:lineRule="auto"/>
        <w:ind w:firstLine="360"/>
        <w:rPr>
          <w:rStyle w:val="Ninguno"/>
          <w:rFonts w:ascii="Times New Roman" w:eastAsia="Courier New" w:hAnsi="Times New Roman" w:cs="Times New Roman"/>
          <w:color w:val="auto"/>
          <w:shd w:val="clear" w:color="auto" w:fill="FFFFFF"/>
        </w:rPr>
      </w:pPr>
      <w:r>
        <w:rPr>
          <w:rStyle w:val="Hyperlink"/>
          <w:rFonts w:ascii="Times New Roman" w:hAnsi="Times New Roman" w:cs="Times New Roman"/>
          <w:u w:val="none"/>
          <w:shd w:val="clear" w:color="auto" w:fill="FFFFFF"/>
        </w:rPr>
        <w:t>T</w:t>
      </w:r>
      <w:r w:rsidR="00CB6432">
        <w:rPr>
          <w:rStyle w:val="Hyperlink"/>
          <w:rFonts w:ascii="Times New Roman" w:hAnsi="Times New Roman" w:cs="Times New Roman"/>
          <w:u w:val="none"/>
          <w:shd w:val="clear" w:color="auto" w:fill="FFFFFF"/>
        </w:rPr>
        <w:t xml:space="preserve">he trial court must first </w:t>
      </w:r>
      <w:r w:rsidR="00232EF1" w:rsidRPr="00C565E5">
        <w:rPr>
          <w:rStyle w:val="Ninguno"/>
          <w:rFonts w:ascii="Times New Roman" w:hAnsi="Times New Roman" w:cs="Times New Roman"/>
          <w:shd w:val="clear" w:color="auto" w:fill="FFFFFF"/>
        </w:rPr>
        <w:t>assess the risk of harm in the community versus the risk of transmission of COVID-19 in the facility:</w:t>
      </w:r>
    </w:p>
    <w:p w14:paraId="4F3F5780" w14:textId="77777777" w:rsidR="00232EF1" w:rsidRPr="00C565E5" w:rsidRDefault="00232EF1" w:rsidP="00232EF1">
      <w:pPr>
        <w:pStyle w:val="NoSpacing"/>
        <w:ind w:left="360"/>
        <w:rPr>
          <w:rStyle w:val="Ninguno"/>
          <w:rFonts w:ascii="Times New Roman" w:eastAsia="Courier New" w:hAnsi="Times New Roman" w:cs="Times New Roman"/>
          <w:sz w:val="24"/>
          <w:szCs w:val="24"/>
          <w:shd w:val="clear" w:color="auto" w:fill="FFFFFF"/>
        </w:rPr>
      </w:pPr>
      <w:r w:rsidRPr="00C565E5">
        <w:rPr>
          <w:rStyle w:val="Ninguno"/>
          <w:rFonts w:ascii="Times New Roman" w:hAnsi="Times New Roman" w:cs="Times New Roman"/>
          <w:sz w:val="24"/>
          <w:szCs w:val="24"/>
          <w:shd w:val="clear" w:color="auto" w:fill="FFFFFF"/>
        </w:rPr>
        <w:t xml:space="preserve">Going forward, a judge shall not commit an individual under G. L. c. 123, § 35, </w:t>
      </w:r>
      <w:r w:rsidRPr="00C565E5">
        <w:rPr>
          <w:rStyle w:val="Ninguno"/>
          <w:rFonts w:ascii="Times New Roman" w:hAnsi="Times New Roman" w:cs="Times New Roman"/>
          <w:i/>
          <w:iCs/>
          <w:sz w:val="24"/>
          <w:szCs w:val="24"/>
          <w:shd w:val="clear" w:color="auto" w:fill="FFFFFF"/>
        </w:rPr>
        <w:t>unless</w:t>
      </w:r>
      <w:r w:rsidRPr="00C565E5">
        <w:rPr>
          <w:rStyle w:val="Ninguno"/>
          <w:rFonts w:ascii="Times New Roman" w:hAnsi="Times New Roman" w:cs="Times New Roman"/>
          <w:sz w:val="24"/>
          <w:szCs w:val="24"/>
          <w:shd w:val="clear" w:color="auto" w:fill="FFFFFF"/>
        </w:rPr>
        <w:t xml:space="preserve"> the judge finds that the danger posed by the individual's substance use disorder outweighs the risk of transmission of COVID-19 in congregate settings.</w:t>
      </w:r>
    </w:p>
    <w:p w14:paraId="4C0C98C6" w14:textId="77777777" w:rsidR="00232EF1" w:rsidRPr="00C565E5" w:rsidRDefault="00232EF1" w:rsidP="00232EF1">
      <w:pPr>
        <w:pStyle w:val="NoSpacing"/>
        <w:ind w:left="360"/>
        <w:rPr>
          <w:rStyle w:val="Ninguno"/>
          <w:rFonts w:ascii="Times New Roman" w:eastAsia="Courier New" w:hAnsi="Times New Roman" w:cs="Times New Roman"/>
          <w:sz w:val="24"/>
          <w:szCs w:val="24"/>
          <w:shd w:val="clear" w:color="auto" w:fill="FFFFFF"/>
        </w:rPr>
      </w:pPr>
    </w:p>
    <w:p w14:paraId="1A4DC484" w14:textId="0DD7182C" w:rsidR="00232EF1" w:rsidRPr="00F915DB" w:rsidRDefault="00543C2C" w:rsidP="00232EF1">
      <w:pPr>
        <w:pStyle w:val="NoSpacing"/>
        <w:rPr>
          <w:rStyle w:val="Ninguno"/>
          <w:rFonts w:ascii="Times New Roman" w:eastAsia="Courier New" w:hAnsi="Times New Roman" w:cs="Times New Roman"/>
          <w:i/>
          <w:sz w:val="24"/>
          <w:szCs w:val="24"/>
          <w:shd w:val="clear" w:color="auto" w:fill="FFFFFF"/>
        </w:rPr>
      </w:pPr>
      <w:r w:rsidRPr="002D0DB1">
        <w:rPr>
          <w:rFonts w:ascii="Times New Roman" w:eastAsia="Times New Roman" w:hAnsi="Times New Roman" w:cs="Times New Roman"/>
          <w:i/>
          <w:sz w:val="24"/>
          <w:szCs w:val="24"/>
          <w:bdr w:val="none" w:sz="0" w:space="0" w:color="auto"/>
        </w:rPr>
        <w:t xml:space="preserve">Foster v. </w:t>
      </w:r>
      <w:proofErr w:type="spellStart"/>
      <w:r w:rsidRPr="002D0DB1">
        <w:rPr>
          <w:rFonts w:ascii="Times New Roman" w:eastAsia="Times New Roman" w:hAnsi="Times New Roman" w:cs="Times New Roman"/>
          <w:i/>
          <w:sz w:val="24"/>
          <w:szCs w:val="24"/>
          <w:bdr w:val="none" w:sz="0" w:space="0" w:color="auto"/>
        </w:rPr>
        <w:t>Commr</w:t>
      </w:r>
      <w:proofErr w:type="spellEnd"/>
      <w:r w:rsidRPr="002D0DB1">
        <w:rPr>
          <w:rFonts w:ascii="Times New Roman" w:eastAsia="Times New Roman" w:hAnsi="Times New Roman" w:cs="Times New Roman"/>
          <w:i/>
          <w:sz w:val="24"/>
          <w:szCs w:val="24"/>
          <w:bdr w:val="none" w:sz="0" w:space="0" w:color="auto"/>
        </w:rPr>
        <w:t>. of Correction</w:t>
      </w:r>
      <w:r w:rsidRPr="00F915DB">
        <w:rPr>
          <w:rFonts w:ascii="Times New Roman" w:eastAsia="Times New Roman" w:hAnsi="Times New Roman" w:cs="Times New Roman"/>
          <w:sz w:val="24"/>
          <w:szCs w:val="24"/>
          <w:bdr w:val="none" w:sz="0" w:space="0" w:color="auto"/>
        </w:rPr>
        <w:t>, 484 Mass. 698 at *</w:t>
      </w:r>
      <w:r>
        <w:rPr>
          <w:rFonts w:ascii="Times New Roman" w:eastAsia="Times New Roman" w:hAnsi="Times New Roman" w:cs="Times New Roman"/>
          <w:bdr w:val="none" w:sz="0" w:space="0" w:color="auto"/>
        </w:rPr>
        <w:t>21</w:t>
      </w:r>
      <w:r w:rsidRPr="00F915DB">
        <w:rPr>
          <w:rFonts w:ascii="Times New Roman" w:eastAsia="Times New Roman" w:hAnsi="Times New Roman" w:cs="Times New Roman"/>
          <w:sz w:val="24"/>
          <w:szCs w:val="24"/>
          <w:bdr w:val="none" w:sz="0" w:space="0" w:color="auto"/>
        </w:rPr>
        <w:t xml:space="preserve"> (2020)</w:t>
      </w:r>
      <w:r>
        <w:rPr>
          <w:rFonts w:ascii="Times New Roman" w:eastAsia="Times New Roman" w:hAnsi="Times New Roman" w:cs="Times New Roman"/>
          <w:bdr w:val="none" w:sz="0" w:space="0" w:color="auto"/>
        </w:rPr>
        <w:t xml:space="preserve"> </w:t>
      </w:r>
    </w:p>
    <w:p w14:paraId="3478B49A" w14:textId="77777777" w:rsidR="00232EF1" w:rsidRPr="00C565E5" w:rsidRDefault="00232EF1" w:rsidP="00232EF1">
      <w:pPr>
        <w:pStyle w:val="NoSpacing"/>
        <w:rPr>
          <w:rStyle w:val="Ninguno"/>
          <w:rFonts w:ascii="Times New Roman" w:eastAsia="Courier New" w:hAnsi="Times New Roman" w:cs="Times New Roman"/>
          <w:sz w:val="24"/>
          <w:szCs w:val="24"/>
          <w:shd w:val="clear" w:color="auto" w:fill="FFFFFF"/>
        </w:rPr>
      </w:pPr>
    </w:p>
    <w:p w14:paraId="15B537B6" w14:textId="77777777" w:rsidR="00232EF1" w:rsidRPr="00C565E5" w:rsidRDefault="00232EF1" w:rsidP="009C4C0B">
      <w:pPr>
        <w:pStyle w:val="NoSpacing"/>
        <w:spacing w:line="480" w:lineRule="auto"/>
        <w:ind w:firstLine="720"/>
        <w:rPr>
          <w:rStyle w:val="Ninguno"/>
          <w:rFonts w:ascii="Times New Roman" w:eastAsia="Courier New" w:hAnsi="Times New Roman" w:cs="Times New Roman"/>
          <w:shd w:val="clear" w:color="auto" w:fill="FFFFFF"/>
        </w:rPr>
      </w:pPr>
      <w:r w:rsidRPr="00C565E5">
        <w:rPr>
          <w:rStyle w:val="Ninguno"/>
          <w:rFonts w:ascii="Times New Roman" w:hAnsi="Times New Roman" w:cs="Times New Roman"/>
          <w:sz w:val="24"/>
          <w:szCs w:val="24"/>
          <w:shd w:val="clear" w:color="auto" w:fill="FFFFFF"/>
        </w:rPr>
        <w:t xml:space="preserve">Since COVID-19 poses a heightened risk for people who are over the age of sixty or suffer from a high-risk condition as defined by the CDC, a court must take into account “the age and health of [the individual],” when assessing the risk of transmission in the facility. </w:t>
      </w:r>
      <w:r w:rsidRPr="004E5206">
        <w:rPr>
          <w:rStyle w:val="Ninguno"/>
          <w:rFonts w:ascii="Times New Roman" w:hAnsi="Times New Roman" w:cs="Times New Roman"/>
          <w:i/>
          <w:sz w:val="24"/>
          <w:szCs w:val="24"/>
          <w:shd w:val="clear" w:color="auto" w:fill="FFFFFF"/>
        </w:rPr>
        <w:t>Id.,</w:t>
      </w:r>
      <w:r w:rsidRPr="00C565E5">
        <w:rPr>
          <w:rStyle w:val="Ninguno"/>
          <w:rFonts w:ascii="Times New Roman" w:hAnsi="Times New Roman" w:cs="Times New Roman"/>
          <w:sz w:val="24"/>
          <w:szCs w:val="24"/>
          <w:shd w:val="clear" w:color="auto" w:fill="FFFFFF"/>
        </w:rPr>
        <w:t xml:space="preserve"> </w:t>
      </w:r>
      <w:r w:rsidRPr="00C565E5">
        <w:rPr>
          <w:rStyle w:val="Ninguno"/>
          <w:rFonts w:ascii="Times New Roman" w:hAnsi="Times New Roman" w:cs="Times New Roman"/>
          <w:i/>
          <w:iCs/>
          <w:sz w:val="24"/>
          <w:szCs w:val="24"/>
          <w:shd w:val="clear" w:color="auto" w:fill="FFFFFF"/>
        </w:rPr>
        <w:t>citing</w:t>
      </w:r>
      <w:r w:rsidRPr="00C565E5">
        <w:rPr>
          <w:rStyle w:val="Ninguno"/>
          <w:rFonts w:ascii="Times New Roman" w:hAnsi="Times New Roman" w:cs="Times New Roman"/>
          <w:sz w:val="24"/>
          <w:szCs w:val="24"/>
          <w:shd w:val="clear" w:color="auto" w:fill="FFFFFF"/>
        </w:rPr>
        <w:t xml:space="preserve"> to </w:t>
      </w:r>
      <w:r w:rsidRPr="008A6AD2">
        <w:rPr>
          <w:rStyle w:val="Ninguno"/>
          <w:rFonts w:ascii="Times New Roman" w:hAnsi="Times New Roman" w:cs="Times New Roman"/>
          <w:i/>
          <w:sz w:val="24"/>
          <w:szCs w:val="24"/>
          <w:shd w:val="clear" w:color="auto" w:fill="FFFFFF"/>
        </w:rPr>
        <w:t>CPCS v. Trial Court</w:t>
      </w:r>
      <w:r w:rsidRPr="00C565E5">
        <w:rPr>
          <w:rStyle w:val="Ninguno"/>
          <w:rFonts w:ascii="Times New Roman" w:hAnsi="Times New Roman" w:cs="Times New Roman"/>
          <w:sz w:val="24"/>
          <w:szCs w:val="24"/>
          <w:shd w:val="clear" w:color="auto" w:fill="FFFFFF"/>
        </w:rPr>
        <w:t>, 484 Mass. at 449.</w:t>
      </w:r>
    </w:p>
    <w:p w14:paraId="53487C7A" w14:textId="531CCA9B" w:rsidR="00DE0068" w:rsidRPr="00C565E5" w:rsidRDefault="00232EF1" w:rsidP="00D143CF">
      <w:pPr>
        <w:pStyle w:val="NoSpacing"/>
        <w:spacing w:line="480" w:lineRule="auto"/>
        <w:ind w:firstLine="720"/>
        <w:rPr>
          <w:rStyle w:val="Ninguno"/>
          <w:rFonts w:ascii="Times New Roman" w:hAnsi="Times New Roman" w:cs="Times New Roman"/>
          <w:sz w:val="24"/>
          <w:szCs w:val="24"/>
        </w:rPr>
      </w:pPr>
      <w:r w:rsidRPr="00C565E5">
        <w:rPr>
          <w:rStyle w:val="Ninguno"/>
          <w:rFonts w:ascii="Times New Roman" w:hAnsi="Times New Roman" w:cs="Times New Roman"/>
          <w:sz w:val="24"/>
          <w:szCs w:val="24"/>
          <w:shd w:val="clear" w:color="auto" w:fill="FFFFFF"/>
        </w:rPr>
        <w:t xml:space="preserve">Second, the judge "must find that commitment is necessary notwithstanding the treatment limitations imposed by quarantine protocols." </w:t>
      </w:r>
      <w:r w:rsidR="00E017F5" w:rsidRPr="006727A6">
        <w:rPr>
          <w:rStyle w:val="Ninguno"/>
          <w:rFonts w:ascii="Times New Roman" w:hAnsi="Times New Roman" w:cs="Times New Roman"/>
          <w:i/>
          <w:sz w:val="24"/>
          <w:szCs w:val="24"/>
          <w:u w:val="single"/>
          <w:shd w:val="clear" w:color="auto" w:fill="FFFFFF"/>
        </w:rPr>
        <w:t>Id.</w:t>
      </w:r>
      <w:r w:rsidRPr="00C565E5">
        <w:rPr>
          <w:rStyle w:val="Ninguno"/>
          <w:rFonts w:ascii="Times New Roman" w:hAnsi="Times New Roman" w:cs="Times New Roman"/>
          <w:sz w:val="24"/>
          <w:szCs w:val="24"/>
          <w:shd w:val="clear" w:color="auto" w:fill="FFFFFF"/>
        </w:rPr>
        <w:t xml:space="preserve"> </w:t>
      </w:r>
    </w:p>
    <w:p w14:paraId="1EDC3C66" w14:textId="77777777" w:rsidR="00DE0068" w:rsidRPr="00C565E5" w:rsidRDefault="00DE0068">
      <w:pPr>
        <w:pStyle w:val="BodyText"/>
        <w:tabs>
          <w:tab w:val="left" w:pos="720"/>
        </w:tabs>
        <w:jc w:val="left"/>
        <w:rPr>
          <w:rStyle w:val="Ninguno"/>
          <w:rFonts w:ascii="Times New Roman" w:hAnsi="Times New Roman" w:cs="Times New Roman"/>
          <w:sz w:val="24"/>
          <w:szCs w:val="24"/>
        </w:rPr>
      </w:pPr>
    </w:p>
    <w:p w14:paraId="503D5F33" w14:textId="011DF2FB" w:rsidR="00DE0068" w:rsidRPr="00247CDE" w:rsidRDefault="00203F1B" w:rsidP="00247CDE">
      <w:pPr>
        <w:pStyle w:val="ListParagraph"/>
        <w:numPr>
          <w:ilvl w:val="0"/>
          <w:numId w:val="30"/>
        </w:numPr>
        <w:rPr>
          <w:rStyle w:val="Ninguno"/>
          <w:rFonts w:ascii="Times New Roman" w:hAnsi="Times New Roman" w:cs="Times New Roman"/>
          <w:b/>
          <w:bCs/>
          <w:sz w:val="24"/>
          <w:szCs w:val="24"/>
          <w:u w:val="single"/>
        </w:rPr>
      </w:pPr>
      <w:r w:rsidRPr="00247CDE">
        <w:rPr>
          <w:rStyle w:val="Ninguno"/>
          <w:rFonts w:ascii="Times New Roman" w:hAnsi="Times New Roman" w:cs="Times New Roman"/>
          <w:b/>
          <w:bCs/>
          <w:sz w:val="24"/>
          <w:szCs w:val="24"/>
          <w:u w:val="single"/>
        </w:rPr>
        <w:t xml:space="preserve">THE BURDEN OF PROOF REMAINS WITH THE PETITIONER TO PROVE </w:t>
      </w:r>
      <w:r w:rsidR="00E017F5" w:rsidRPr="00247CDE">
        <w:rPr>
          <w:rStyle w:val="Ninguno"/>
          <w:rFonts w:ascii="Times New Roman" w:hAnsi="Times New Roman" w:cs="Times New Roman"/>
          <w:b/>
          <w:bCs/>
          <w:sz w:val="24"/>
          <w:szCs w:val="24"/>
          <w:u w:val="single"/>
        </w:rPr>
        <w:t>THE</w:t>
      </w:r>
      <w:r w:rsidR="00247CDE" w:rsidRPr="00247CDE">
        <w:rPr>
          <w:rStyle w:val="Ninguno"/>
          <w:rFonts w:ascii="Times New Roman" w:hAnsi="Times New Roman" w:cs="Times New Roman"/>
          <w:b/>
          <w:bCs/>
          <w:sz w:val="24"/>
          <w:szCs w:val="24"/>
          <w:u w:val="single"/>
        </w:rPr>
        <w:t xml:space="preserve"> </w:t>
      </w:r>
      <w:r w:rsidR="00E017F5" w:rsidRPr="00247CDE">
        <w:rPr>
          <w:rStyle w:val="Ninguno"/>
          <w:rFonts w:ascii="Times New Roman" w:hAnsi="Times New Roman" w:cs="Times New Roman"/>
          <w:b/>
          <w:bCs/>
          <w:sz w:val="24"/>
          <w:szCs w:val="24"/>
          <w:u w:val="single"/>
        </w:rPr>
        <w:t>ADDITIONAL REQUIRED ELEMENTS IN SUPPORT OF COMMITMENT</w:t>
      </w:r>
    </w:p>
    <w:p w14:paraId="424B5394" w14:textId="71932EE8" w:rsidR="00D2417C" w:rsidRDefault="00D2417C" w:rsidP="00280855">
      <w:pPr>
        <w:rPr>
          <w:rStyle w:val="Ninguno"/>
          <w:b/>
          <w:bCs/>
        </w:rPr>
      </w:pPr>
    </w:p>
    <w:p w14:paraId="367B6607" w14:textId="11A1A049" w:rsidR="00D2417C" w:rsidRDefault="00D2417C" w:rsidP="00B90C7B">
      <w:pPr>
        <w:spacing w:line="480" w:lineRule="auto"/>
        <w:rPr>
          <w:rStyle w:val="Ninguno"/>
          <w:shd w:val="clear" w:color="auto" w:fill="FFFFFF"/>
        </w:rPr>
      </w:pPr>
      <w:r>
        <w:rPr>
          <w:rStyle w:val="Ninguno"/>
          <w:b/>
          <w:bCs/>
        </w:rPr>
        <w:tab/>
      </w:r>
      <w:r>
        <w:rPr>
          <w:rStyle w:val="Ninguno"/>
          <w:shd w:val="clear" w:color="auto" w:fill="FFFFFF"/>
        </w:rPr>
        <w:t>The</w:t>
      </w:r>
      <w:r w:rsidRPr="00191F0C">
        <w:rPr>
          <w:rStyle w:val="Ninguno"/>
          <w:i/>
          <w:shd w:val="clear" w:color="auto" w:fill="FFFFFF"/>
        </w:rPr>
        <w:t xml:space="preserve"> Foster</w:t>
      </w:r>
      <w:r>
        <w:rPr>
          <w:rStyle w:val="Ninguno"/>
          <w:shd w:val="clear" w:color="auto" w:fill="FFFFFF"/>
        </w:rPr>
        <w:t xml:space="preserve"> </w:t>
      </w:r>
      <w:r w:rsidR="00191F0C" w:rsidRPr="00191F0C">
        <w:rPr>
          <w:rStyle w:val="Ninguno"/>
          <w:i/>
          <w:shd w:val="clear" w:color="auto" w:fill="FFFFFF"/>
        </w:rPr>
        <w:t>I</w:t>
      </w:r>
      <w:r w:rsidR="00191F0C">
        <w:rPr>
          <w:rStyle w:val="Ninguno"/>
          <w:shd w:val="clear" w:color="auto" w:fill="FFFFFF"/>
        </w:rPr>
        <w:t xml:space="preserve"> </w:t>
      </w:r>
      <w:r>
        <w:rPr>
          <w:rStyle w:val="Ninguno"/>
          <w:shd w:val="clear" w:color="auto" w:fill="FFFFFF"/>
        </w:rPr>
        <w:t xml:space="preserve">Court used its supervisory powers to impose two additional requirements for civil commitments </w:t>
      </w:r>
      <w:r w:rsidR="00F17BDA">
        <w:rPr>
          <w:rStyle w:val="Ninguno"/>
          <w:shd w:val="clear" w:color="auto" w:fill="FFFFFF"/>
        </w:rPr>
        <w:t xml:space="preserve">“going forward” </w:t>
      </w:r>
      <w:r>
        <w:rPr>
          <w:rStyle w:val="Ninguno"/>
          <w:shd w:val="clear" w:color="auto" w:fill="FFFFFF"/>
        </w:rPr>
        <w:t>for the duration of the COVID-19 pandemic</w:t>
      </w:r>
      <w:r w:rsidR="00247CDE">
        <w:rPr>
          <w:rStyle w:val="Ninguno"/>
          <w:shd w:val="clear" w:color="auto" w:fill="FFFFFF"/>
        </w:rPr>
        <w:t>.  T</w:t>
      </w:r>
      <w:r w:rsidR="00F17BDA">
        <w:rPr>
          <w:rStyle w:val="Ninguno"/>
          <w:shd w:val="clear" w:color="auto" w:fill="FFFFFF"/>
        </w:rPr>
        <w:t xml:space="preserve">he burden of proof </w:t>
      </w:r>
      <w:r w:rsidR="00247CDE">
        <w:rPr>
          <w:rStyle w:val="Ninguno"/>
          <w:shd w:val="clear" w:color="auto" w:fill="FFFFFF"/>
        </w:rPr>
        <w:t xml:space="preserve">remains </w:t>
      </w:r>
      <w:r w:rsidR="00F17BDA">
        <w:rPr>
          <w:rStyle w:val="Ninguno"/>
          <w:shd w:val="clear" w:color="auto" w:fill="FFFFFF"/>
        </w:rPr>
        <w:t>on the Petitioner to prove the two additional el</w:t>
      </w:r>
      <w:r w:rsidR="004A4B6D">
        <w:rPr>
          <w:rStyle w:val="Ninguno"/>
          <w:shd w:val="clear" w:color="auto" w:fill="FFFFFF"/>
        </w:rPr>
        <w:t>ements</w:t>
      </w:r>
      <w:r w:rsidR="00F17BDA">
        <w:rPr>
          <w:rStyle w:val="Ninguno"/>
          <w:shd w:val="clear" w:color="auto" w:fill="FFFFFF"/>
        </w:rPr>
        <w:t xml:space="preserve"> if the Court is going to order </w:t>
      </w:r>
      <w:r w:rsidR="00F17BDA">
        <w:rPr>
          <w:rStyle w:val="Ninguno"/>
          <w:shd w:val="clear" w:color="auto" w:fill="FFFFFF"/>
        </w:rPr>
        <w:lastRenderedPageBreak/>
        <w:t xml:space="preserve">commitment.  The language of the Court’s ruling in </w:t>
      </w:r>
      <w:r w:rsidR="00F17BDA" w:rsidRPr="00D66603">
        <w:rPr>
          <w:rStyle w:val="Ninguno"/>
          <w:i/>
          <w:shd w:val="clear" w:color="auto" w:fill="FFFFFF"/>
        </w:rPr>
        <w:t>Foster I</w:t>
      </w:r>
      <w:r w:rsidR="00F17BDA">
        <w:rPr>
          <w:rStyle w:val="Ninguno"/>
          <w:shd w:val="clear" w:color="auto" w:fill="FFFFFF"/>
        </w:rPr>
        <w:t xml:space="preserve"> is mandatory.  “Going forward, a judge </w:t>
      </w:r>
      <w:r w:rsidR="00F17BDA" w:rsidRPr="00F17BDA">
        <w:rPr>
          <w:rStyle w:val="Ninguno"/>
          <w:i/>
          <w:shd w:val="clear" w:color="auto" w:fill="FFFFFF"/>
        </w:rPr>
        <w:t>shall not commit</w:t>
      </w:r>
      <w:r w:rsidR="00F17BDA">
        <w:rPr>
          <w:rStyle w:val="Ninguno"/>
          <w:shd w:val="clear" w:color="auto" w:fill="FFFFFF"/>
        </w:rPr>
        <w:t xml:space="preserve"> an individual…</w:t>
      </w:r>
      <w:r w:rsidR="0046304F">
        <w:rPr>
          <w:rStyle w:val="Ninguno"/>
          <w:shd w:val="clear" w:color="auto" w:fill="FFFFFF"/>
        </w:rPr>
        <w:t>”</w:t>
      </w:r>
      <w:r w:rsidR="00F17BDA">
        <w:rPr>
          <w:rStyle w:val="Ninguno"/>
          <w:shd w:val="clear" w:color="auto" w:fill="FFFFFF"/>
        </w:rPr>
        <w:t xml:space="preserve"> without making the two additional findings. </w:t>
      </w:r>
      <w:r w:rsidR="0046304F">
        <w:rPr>
          <w:rStyle w:val="Ninguno"/>
          <w:shd w:val="clear" w:color="auto" w:fill="FFFFFF"/>
        </w:rPr>
        <w:t xml:space="preserve">  </w:t>
      </w:r>
      <w:r w:rsidR="004A4B6D" w:rsidRPr="004A4B6D">
        <w:rPr>
          <w:rStyle w:val="Ninguno"/>
          <w:u w:val="single"/>
          <w:shd w:val="clear" w:color="auto" w:fill="FFFFFF"/>
        </w:rPr>
        <w:t>Id.</w:t>
      </w:r>
    </w:p>
    <w:p w14:paraId="05E21F0C" w14:textId="21DA6983" w:rsidR="00870AAE" w:rsidRDefault="0046304F" w:rsidP="00870AAE">
      <w:pPr>
        <w:spacing w:line="480" w:lineRule="auto"/>
        <w:rPr>
          <w:rStyle w:val="Ninguno"/>
          <w:shd w:val="clear" w:color="auto" w:fill="FFFFFF"/>
        </w:rPr>
      </w:pPr>
      <w:r>
        <w:rPr>
          <w:rStyle w:val="Ninguno"/>
          <w:shd w:val="clear" w:color="auto" w:fill="FFFFFF"/>
        </w:rPr>
        <w:tab/>
        <w:t xml:space="preserve">The </w:t>
      </w:r>
      <w:r w:rsidR="00826415">
        <w:rPr>
          <w:rStyle w:val="Ninguno"/>
          <w:shd w:val="clear" w:color="auto" w:fill="FFFFFF"/>
        </w:rPr>
        <w:t>purpose</w:t>
      </w:r>
      <w:r>
        <w:rPr>
          <w:rStyle w:val="Ninguno"/>
          <w:shd w:val="clear" w:color="auto" w:fill="FFFFFF"/>
        </w:rPr>
        <w:t xml:space="preserve"> of the prompt rehearing on current orders of commitment</w:t>
      </w:r>
      <w:r w:rsidR="00340C93">
        <w:rPr>
          <w:rStyle w:val="Ninguno"/>
          <w:shd w:val="clear" w:color="auto" w:fill="FFFFFF"/>
        </w:rPr>
        <w:t>,</w:t>
      </w:r>
      <w:r>
        <w:rPr>
          <w:rStyle w:val="Ninguno"/>
          <w:shd w:val="clear" w:color="auto" w:fill="FFFFFF"/>
        </w:rPr>
        <w:t xml:space="preserve"> in which these pandemic</w:t>
      </w:r>
      <w:r w:rsidR="00081D6A">
        <w:rPr>
          <w:rStyle w:val="Ninguno"/>
          <w:shd w:val="clear" w:color="auto" w:fill="FFFFFF"/>
        </w:rPr>
        <w:t>-</w:t>
      </w:r>
      <w:r>
        <w:rPr>
          <w:rStyle w:val="Ninguno"/>
          <w:shd w:val="clear" w:color="auto" w:fill="FFFFFF"/>
        </w:rPr>
        <w:t xml:space="preserve">related findings may not have </w:t>
      </w:r>
      <w:r w:rsidRPr="00247CDE">
        <w:rPr>
          <w:rStyle w:val="Ninguno"/>
          <w:shd w:val="clear" w:color="auto" w:fill="FFFFFF"/>
        </w:rPr>
        <w:t>been made, is to place currently committed</w:t>
      </w:r>
      <w:r>
        <w:rPr>
          <w:rStyle w:val="Ninguno"/>
          <w:shd w:val="clear" w:color="auto" w:fill="FFFFFF"/>
        </w:rPr>
        <w:t xml:space="preserve"> individuals in the same position </w:t>
      </w:r>
      <w:r w:rsidR="00826415">
        <w:rPr>
          <w:rStyle w:val="Ninguno"/>
          <w:shd w:val="clear" w:color="auto" w:fill="FFFFFF"/>
        </w:rPr>
        <w:t xml:space="preserve">as </w:t>
      </w:r>
      <w:r>
        <w:rPr>
          <w:rStyle w:val="Ninguno"/>
          <w:shd w:val="clear" w:color="auto" w:fill="FFFFFF"/>
        </w:rPr>
        <w:t xml:space="preserve">they would </w:t>
      </w:r>
      <w:r w:rsidR="00826415">
        <w:rPr>
          <w:rStyle w:val="Ninguno"/>
          <w:shd w:val="clear" w:color="auto" w:fill="FFFFFF"/>
        </w:rPr>
        <w:t>have been</w:t>
      </w:r>
      <w:r>
        <w:rPr>
          <w:rStyle w:val="Ninguno"/>
          <w:shd w:val="clear" w:color="auto" w:fill="FFFFFF"/>
        </w:rPr>
        <w:t xml:space="preserve"> </w:t>
      </w:r>
      <w:r w:rsidR="00826415">
        <w:rPr>
          <w:rStyle w:val="Ninguno"/>
          <w:shd w:val="clear" w:color="auto" w:fill="FFFFFF"/>
        </w:rPr>
        <w:t>had</w:t>
      </w:r>
      <w:r>
        <w:rPr>
          <w:rStyle w:val="Ninguno"/>
          <w:shd w:val="clear" w:color="auto" w:fill="FFFFFF"/>
        </w:rPr>
        <w:t xml:space="preserve"> their hearing had taken place after the Court’s ruling.  </w:t>
      </w:r>
      <w:r w:rsidR="00826415">
        <w:rPr>
          <w:rStyle w:val="Ninguno"/>
          <w:shd w:val="clear" w:color="auto" w:fill="FFFFFF"/>
        </w:rPr>
        <w:t xml:space="preserve">This mechanism eliminates the arbitrary result that individuals currently in congregate facilities facing the same risks to their health and safety would be denied the potential benefits of a Court ruling designed to take that health and safety into account prior to ordering commitment. </w:t>
      </w:r>
      <w:r>
        <w:rPr>
          <w:rStyle w:val="Ninguno"/>
          <w:shd w:val="clear" w:color="auto" w:fill="FFFFFF"/>
        </w:rPr>
        <w:t>For that reason, the burden of proof as to the two additional required elements remain</w:t>
      </w:r>
      <w:r w:rsidR="009471F8">
        <w:rPr>
          <w:rStyle w:val="Ninguno"/>
          <w:shd w:val="clear" w:color="auto" w:fill="FFFFFF"/>
        </w:rPr>
        <w:t>s with the petitioner at the re</w:t>
      </w:r>
      <w:r>
        <w:rPr>
          <w:rStyle w:val="Ninguno"/>
          <w:shd w:val="clear" w:color="auto" w:fill="FFFFFF"/>
        </w:rPr>
        <w:t>hearing</w:t>
      </w:r>
      <w:r w:rsidR="00870AAE">
        <w:rPr>
          <w:rStyle w:val="Ninguno"/>
          <w:shd w:val="clear" w:color="auto" w:fill="FFFFFF"/>
        </w:rPr>
        <w:t xml:space="preserve">. The burden for these </w:t>
      </w:r>
      <w:r w:rsidR="0009051E">
        <w:rPr>
          <w:rStyle w:val="Ninguno"/>
          <w:shd w:val="clear" w:color="auto" w:fill="FFFFFF"/>
        </w:rPr>
        <w:t>additional required elements, as with others, remains beyond a reasonable doubt.</w:t>
      </w:r>
    </w:p>
    <w:p w14:paraId="45F4E635" w14:textId="77777777" w:rsidR="00870AAE" w:rsidRDefault="00870AAE" w:rsidP="00870AAE">
      <w:pPr>
        <w:spacing w:line="480" w:lineRule="auto"/>
        <w:ind w:left="3600" w:firstLine="720"/>
        <w:rPr>
          <w:rStyle w:val="Ninguno"/>
          <w:shd w:val="clear" w:color="auto" w:fill="FFFFFF"/>
        </w:rPr>
      </w:pPr>
    </w:p>
    <w:p w14:paraId="5E85EBFD" w14:textId="77777777" w:rsidR="00870AAE" w:rsidRDefault="00870AAE" w:rsidP="00870AAE">
      <w:pPr>
        <w:spacing w:line="480" w:lineRule="auto"/>
        <w:ind w:left="3600" w:firstLine="720"/>
        <w:rPr>
          <w:rStyle w:val="Ninguno"/>
          <w:shd w:val="clear" w:color="auto" w:fill="FFFFFF"/>
        </w:rPr>
      </w:pPr>
    </w:p>
    <w:p w14:paraId="5CDB2149" w14:textId="5F306455" w:rsidR="00247CDE" w:rsidRPr="00870AAE" w:rsidRDefault="00247CDE" w:rsidP="00870AAE">
      <w:pPr>
        <w:spacing w:line="480" w:lineRule="auto"/>
        <w:ind w:left="3600" w:firstLine="720"/>
        <w:rPr>
          <w:shd w:val="clear" w:color="auto" w:fill="FFFFFF"/>
        </w:rPr>
      </w:pPr>
      <w:r>
        <w:rPr>
          <w:rFonts w:eastAsia="Times New Roman"/>
          <w:color w:val="000000"/>
        </w:rPr>
        <w:t>Respectfully Submitted,</w:t>
      </w:r>
    </w:p>
    <w:p w14:paraId="5D98D106" w14:textId="183F2461" w:rsidR="00247CDE" w:rsidRDefault="00197737" w:rsidP="00247CDE">
      <w:pPr>
        <w:spacing w:before="3" w:line="271" w:lineRule="exact"/>
        <w:ind w:left="4320"/>
        <w:textAlignment w:val="baseline"/>
        <w:rPr>
          <w:rFonts w:eastAsia="Times New Roman"/>
          <w:color w:val="000000"/>
        </w:rPr>
      </w:pPr>
      <w:r>
        <w:rPr>
          <w:rFonts w:eastAsia="Times New Roman"/>
          <w:color w:val="000000"/>
        </w:rPr>
        <w:t>Your client</w:t>
      </w:r>
    </w:p>
    <w:p w14:paraId="4A97C3CC" w14:textId="5514D442" w:rsidR="00247CDE" w:rsidRDefault="00247CDE" w:rsidP="00247CDE">
      <w:pPr>
        <w:spacing w:before="7" w:line="271" w:lineRule="exact"/>
        <w:ind w:left="4320"/>
        <w:textAlignment w:val="baseline"/>
        <w:rPr>
          <w:rFonts w:eastAsia="Times New Roman"/>
          <w:color w:val="000000"/>
        </w:rPr>
      </w:pPr>
      <w:r>
        <w:rPr>
          <w:rFonts w:eastAsia="Times New Roman"/>
          <w:color w:val="000000"/>
        </w:rPr>
        <w:t>By his Attorney,</w:t>
      </w:r>
    </w:p>
    <w:p w14:paraId="04723342" w14:textId="77777777" w:rsidR="00197737" w:rsidRDefault="00197737" w:rsidP="00247CDE">
      <w:pPr>
        <w:tabs>
          <w:tab w:val="left" w:pos="4320"/>
        </w:tabs>
        <w:spacing w:before="27" w:line="271" w:lineRule="exact"/>
        <w:textAlignment w:val="baseline"/>
        <w:rPr>
          <w:rFonts w:eastAsia="Times New Roman"/>
          <w:color w:val="000000"/>
          <w:spacing w:val="-4"/>
          <w:u w:val="single"/>
        </w:rPr>
      </w:pPr>
    </w:p>
    <w:p w14:paraId="2502F15A" w14:textId="77777777" w:rsidR="00197737" w:rsidRDefault="00197737" w:rsidP="00247CDE">
      <w:pPr>
        <w:tabs>
          <w:tab w:val="left" w:pos="4320"/>
        </w:tabs>
        <w:spacing w:before="27" w:line="271" w:lineRule="exact"/>
        <w:textAlignment w:val="baseline"/>
        <w:rPr>
          <w:rFonts w:eastAsia="Times New Roman"/>
          <w:color w:val="000000"/>
          <w:spacing w:val="-4"/>
          <w:u w:val="single"/>
        </w:rPr>
      </w:pPr>
    </w:p>
    <w:p w14:paraId="1BE3E4A5" w14:textId="7F1662D9" w:rsidR="00870AAE" w:rsidRDefault="00247CDE" w:rsidP="00197737">
      <w:pPr>
        <w:tabs>
          <w:tab w:val="left" w:pos="4320"/>
        </w:tabs>
        <w:spacing w:before="27" w:line="271" w:lineRule="exact"/>
        <w:textAlignment w:val="baseline"/>
        <w:rPr>
          <w:rFonts w:eastAsia="Times New Roman"/>
          <w:color w:val="000000"/>
        </w:rPr>
      </w:pPr>
      <w:r>
        <w:rPr>
          <w:noProof/>
        </w:rPr>
        <mc:AlternateContent>
          <mc:Choice Requires="wps">
            <w:drawing>
              <wp:anchor distT="0" distB="0" distL="114300" distR="114300" simplePos="0" relativeHeight="251659264" behindDoc="0" locked="0" layoutInCell="1" allowOverlap="1" wp14:anchorId="3A01E111" wp14:editId="752409E9">
                <wp:simplePos x="0" y="0"/>
                <wp:positionH relativeFrom="page">
                  <wp:posOffset>3654425</wp:posOffset>
                </wp:positionH>
                <wp:positionV relativeFrom="page">
                  <wp:posOffset>4837430</wp:posOffset>
                </wp:positionV>
                <wp:extent cx="206438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438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FBDE2" id="Line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7.75pt,380.9pt" to="450.3pt,3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" strokeweight=".7pt">
                <w10:wrap anchorx="page" anchory="page"/>
              </v:line>
            </w:pict>
          </mc:Fallback>
        </mc:AlternateContent>
      </w:r>
      <w:r>
        <w:rPr>
          <w:rFonts w:eastAsia="Times New Roman"/>
          <w:color w:val="000000"/>
          <w:spacing w:val="-1"/>
        </w:rPr>
        <w:t>Date:</w:t>
      </w:r>
      <w:r>
        <w:rPr>
          <w:rFonts w:eastAsia="Times New Roman"/>
          <w:color w:val="000000"/>
          <w:spacing w:val="-1"/>
        </w:rPr>
        <w:tab/>
      </w:r>
      <w:r w:rsidR="00197737">
        <w:rPr>
          <w:rFonts w:eastAsia="Times New Roman"/>
          <w:color w:val="000000"/>
          <w:spacing w:val="-1"/>
        </w:rPr>
        <w:t>Attorney</w:t>
      </w:r>
    </w:p>
    <w:p w14:paraId="4792B2A1" w14:textId="47B0140B" w:rsidR="00870AAE" w:rsidRDefault="00870AAE" w:rsidP="00870AAE">
      <w:pPr>
        <w:spacing w:before="3" w:line="271" w:lineRule="exact"/>
        <w:ind w:left="4320"/>
        <w:textAlignment w:val="baseline"/>
        <w:rPr>
          <w:rFonts w:eastAsia="Times New Roman"/>
          <w:color w:val="000000"/>
        </w:rPr>
      </w:pPr>
    </w:p>
    <w:p w14:paraId="48FDC628" w14:textId="4AA7D668" w:rsidR="00116018" w:rsidRDefault="00116018" w:rsidP="00870AAE">
      <w:pPr>
        <w:spacing w:before="3" w:line="271" w:lineRule="exact"/>
        <w:ind w:left="4320"/>
        <w:textAlignment w:val="baseline"/>
        <w:rPr>
          <w:rFonts w:eastAsia="Times New Roman"/>
          <w:color w:val="000000"/>
        </w:rPr>
      </w:pPr>
    </w:p>
    <w:p w14:paraId="23D92083" w14:textId="5BC0F510" w:rsidR="00116018" w:rsidRDefault="00116018" w:rsidP="00870AAE">
      <w:pPr>
        <w:spacing w:before="3" w:line="271" w:lineRule="exact"/>
        <w:ind w:left="4320"/>
        <w:textAlignment w:val="baseline"/>
        <w:rPr>
          <w:rFonts w:eastAsia="Times New Roman"/>
          <w:color w:val="000000"/>
        </w:rPr>
      </w:pPr>
    </w:p>
    <w:p w14:paraId="14865EDA" w14:textId="01F1843A" w:rsidR="00116018" w:rsidRDefault="00116018" w:rsidP="00870AAE">
      <w:pPr>
        <w:spacing w:before="3" w:line="271" w:lineRule="exact"/>
        <w:ind w:left="4320"/>
        <w:textAlignment w:val="baseline"/>
        <w:rPr>
          <w:rFonts w:eastAsia="Times New Roman"/>
          <w:color w:val="000000"/>
        </w:rPr>
      </w:pPr>
    </w:p>
    <w:p w14:paraId="296A4CEF" w14:textId="6E163894" w:rsidR="00116018" w:rsidRDefault="00116018" w:rsidP="00870AAE">
      <w:pPr>
        <w:spacing w:before="3" w:line="271" w:lineRule="exact"/>
        <w:ind w:left="4320"/>
        <w:textAlignment w:val="baseline"/>
        <w:rPr>
          <w:rFonts w:eastAsia="Times New Roman"/>
          <w:color w:val="000000"/>
        </w:rPr>
      </w:pPr>
    </w:p>
    <w:p w14:paraId="658568BE" w14:textId="77777777" w:rsidR="00116018" w:rsidRDefault="00116018" w:rsidP="00870AAE">
      <w:pPr>
        <w:spacing w:before="3" w:line="271" w:lineRule="exact"/>
        <w:ind w:left="4320"/>
        <w:textAlignment w:val="baseline"/>
        <w:rPr>
          <w:rFonts w:eastAsia="Times New Roman"/>
          <w:color w:val="000000"/>
        </w:rPr>
      </w:pPr>
    </w:p>
    <w:p w14:paraId="0DE298A5" w14:textId="10C74445" w:rsidR="00247CDE" w:rsidRPr="00870AAE" w:rsidRDefault="00247CDE" w:rsidP="00870AAE">
      <w:pPr>
        <w:spacing w:before="3" w:line="271" w:lineRule="exact"/>
        <w:jc w:val="center"/>
        <w:textAlignment w:val="baseline"/>
        <w:rPr>
          <w:rFonts w:eastAsia="Times New Roman"/>
          <w:color w:val="000000"/>
        </w:rPr>
      </w:pPr>
      <w:r>
        <w:rPr>
          <w:rFonts w:eastAsia="Times New Roman"/>
          <w:b/>
          <w:color w:val="000000"/>
          <w:u w:val="single"/>
        </w:rPr>
        <w:t>CERTIFICATE OF SERVICE</w:t>
      </w:r>
    </w:p>
    <w:p w14:paraId="4906B2C1" w14:textId="138A598C" w:rsidR="00247CDE" w:rsidRDefault="00247CDE" w:rsidP="00247CDE">
      <w:pPr>
        <w:spacing w:before="268" w:line="277" w:lineRule="exact"/>
        <w:ind w:right="216"/>
        <w:textAlignment w:val="baseline"/>
        <w:rPr>
          <w:rFonts w:eastAsia="Times New Roman"/>
          <w:color w:val="000000"/>
        </w:rPr>
      </w:pPr>
      <w:r>
        <w:rPr>
          <w:rFonts w:eastAsia="Times New Roman"/>
          <w:color w:val="000000"/>
        </w:rPr>
        <w:t xml:space="preserve">I, </w:t>
      </w:r>
      <w:r w:rsidR="00197737">
        <w:rPr>
          <w:rFonts w:eastAsia="Times New Roman"/>
          <w:color w:val="000000"/>
        </w:rPr>
        <w:t>your attorney</w:t>
      </w:r>
      <w:r>
        <w:rPr>
          <w:rFonts w:eastAsia="Times New Roman"/>
          <w:color w:val="000000"/>
        </w:rPr>
        <w:t>, hereby certify that on this day of</w:t>
      </w:r>
      <w:r w:rsidR="00197737">
        <w:rPr>
          <w:rFonts w:eastAsia="Times New Roman"/>
          <w:color w:val="000000"/>
        </w:rPr>
        <w:t xml:space="preserve"> </w:t>
      </w:r>
      <w:proofErr w:type="gramStart"/>
      <w:r w:rsidR="00197737">
        <w:rPr>
          <w:rFonts w:eastAsia="Times New Roman"/>
          <w:color w:val="000000"/>
        </w:rPr>
        <w:t>October</w:t>
      </w:r>
      <w:r>
        <w:rPr>
          <w:rFonts w:eastAsia="Times New Roman"/>
          <w:color w:val="000000"/>
        </w:rPr>
        <w:t>,</w:t>
      </w:r>
      <w:proofErr w:type="gramEnd"/>
      <w:r>
        <w:rPr>
          <w:rFonts w:eastAsia="Times New Roman"/>
          <w:color w:val="000000"/>
        </w:rPr>
        <w:t xml:space="preserve"> 2020, I served this motion and </w:t>
      </w:r>
      <w:r w:rsidR="00870AAE">
        <w:rPr>
          <w:rFonts w:eastAsia="Times New Roman"/>
          <w:color w:val="000000"/>
        </w:rPr>
        <w:t>memorandum</w:t>
      </w:r>
      <w:r>
        <w:rPr>
          <w:rFonts w:eastAsia="Times New Roman"/>
          <w:color w:val="000000"/>
        </w:rPr>
        <w:t xml:space="preserve"> upon Petitioner’s counsel by electronic mail.</w:t>
      </w:r>
    </w:p>
    <w:p w14:paraId="570C0819" w14:textId="77777777" w:rsidR="00197737" w:rsidRDefault="00197737" w:rsidP="00870AAE">
      <w:pPr>
        <w:spacing w:before="39" w:line="271" w:lineRule="exact"/>
        <w:ind w:left="4320"/>
        <w:textAlignment w:val="baseline"/>
        <w:rPr>
          <w:rFonts w:eastAsia="Times New Roman"/>
          <w:i/>
          <w:iCs/>
          <w:color w:val="000000"/>
          <w:spacing w:val="-3"/>
          <w:u w:val="single"/>
        </w:rPr>
      </w:pPr>
    </w:p>
    <w:p w14:paraId="66DD731A" w14:textId="7DAA4638" w:rsidR="00E22D8E" w:rsidRPr="00870AAE" w:rsidRDefault="00197737" w:rsidP="00870AAE">
      <w:pPr>
        <w:spacing w:before="39" w:line="271" w:lineRule="exact"/>
        <w:ind w:left="4320"/>
        <w:textAlignment w:val="baseline"/>
        <w:rPr>
          <w:rFonts w:eastAsia="Times New Roman"/>
          <w:color w:val="000000"/>
        </w:rPr>
      </w:pPr>
      <w:r>
        <w:rPr>
          <w:rFonts w:eastAsia="Times New Roman"/>
          <w:color w:val="000000"/>
        </w:rPr>
        <w:t>Your attorney</w:t>
      </w:r>
    </w:p>
    <w:sectPr w:rsidR="00E22D8E" w:rsidRPr="00870AAE" w:rsidSect="00811149">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CE6703" w14:textId="77777777" w:rsidR="0087105E" w:rsidRDefault="0087105E">
      <w:r>
        <w:separator/>
      </w:r>
    </w:p>
  </w:endnote>
  <w:endnote w:type="continuationSeparator" w:id="0">
    <w:p w14:paraId="6034E8D6" w14:textId="77777777" w:rsidR="0087105E" w:rsidRDefault="00871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7851726"/>
      <w:docPartObj>
        <w:docPartGallery w:val="Page Numbers (Bottom of Page)"/>
        <w:docPartUnique/>
      </w:docPartObj>
    </w:sdtPr>
    <w:sdtEndPr>
      <w:rPr>
        <w:rFonts w:ascii="Courier New" w:hAnsi="Courier New" w:cs="Courier New"/>
        <w:noProof/>
      </w:rPr>
    </w:sdtEndPr>
    <w:sdtContent>
      <w:p w14:paraId="3186338E" w14:textId="2205D353" w:rsidR="004A430F" w:rsidRPr="00591B58" w:rsidRDefault="004A430F">
        <w:pPr>
          <w:pStyle w:val="Footer"/>
          <w:jc w:val="center"/>
          <w:rPr>
            <w:rFonts w:ascii="Courier New" w:hAnsi="Courier New" w:cs="Courier New"/>
          </w:rPr>
        </w:pPr>
        <w:r w:rsidRPr="00591B58">
          <w:rPr>
            <w:rFonts w:ascii="Courier New" w:hAnsi="Courier New" w:cs="Courier New"/>
          </w:rPr>
          <w:fldChar w:fldCharType="begin"/>
        </w:r>
        <w:r w:rsidRPr="00591B58">
          <w:rPr>
            <w:rFonts w:ascii="Courier New" w:hAnsi="Courier New" w:cs="Courier New"/>
          </w:rPr>
          <w:instrText xml:space="preserve"> PAGE   \* MERGEFORMAT </w:instrText>
        </w:r>
        <w:r w:rsidRPr="00591B58">
          <w:rPr>
            <w:rFonts w:ascii="Courier New" w:hAnsi="Courier New" w:cs="Courier New"/>
          </w:rPr>
          <w:fldChar w:fldCharType="separate"/>
        </w:r>
        <w:r w:rsidR="0006320B">
          <w:rPr>
            <w:rFonts w:ascii="Courier New" w:hAnsi="Courier New" w:cs="Courier New"/>
            <w:noProof/>
          </w:rPr>
          <w:t>1</w:t>
        </w:r>
        <w:r w:rsidRPr="00591B58">
          <w:rPr>
            <w:rFonts w:ascii="Courier New" w:hAnsi="Courier New" w:cs="Courier New"/>
            <w:noProof/>
          </w:rPr>
          <w:fldChar w:fldCharType="end"/>
        </w:r>
      </w:p>
    </w:sdtContent>
  </w:sdt>
  <w:p w14:paraId="0474A0C9" w14:textId="77777777" w:rsidR="004A430F" w:rsidRDefault="004A430F">
    <w:pPr>
      <w:pStyle w:val="Footer"/>
      <w:tabs>
        <w:tab w:val="clear" w:pos="9360"/>
        <w:tab w:val="right" w:pos="790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10973F" w14:textId="77777777" w:rsidR="0087105E" w:rsidRDefault="0087105E">
      <w:r>
        <w:separator/>
      </w:r>
    </w:p>
  </w:footnote>
  <w:footnote w:type="continuationSeparator" w:id="0">
    <w:p w14:paraId="55ADE304" w14:textId="77777777" w:rsidR="0087105E" w:rsidRDefault="00871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524B1"/>
    <w:multiLevelType w:val="hybridMultilevel"/>
    <w:tmpl w:val="BF885E6E"/>
    <w:numStyleLink w:val="Lettered"/>
  </w:abstractNum>
  <w:abstractNum w:abstractNumId="1" w15:restartNumberingAfterBreak="0">
    <w:nsid w:val="0614530A"/>
    <w:multiLevelType w:val="hybridMultilevel"/>
    <w:tmpl w:val="EA8A544C"/>
    <w:lvl w:ilvl="0" w:tplc="DDFEE7D8">
      <w:start w:val="1"/>
      <w:numFmt w:val="upperRoman"/>
      <w:lvlText w:val="%1."/>
      <w:lvlJc w:val="right"/>
      <w:pPr>
        <w:ind w:left="720" w:hanging="360"/>
      </w:pPr>
      <w:rPr>
        <w:rFonts w:ascii="Courier New" w:hAnsi="Courier New"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05941"/>
    <w:multiLevelType w:val="hybridMultilevel"/>
    <w:tmpl w:val="32C40182"/>
    <w:lvl w:ilvl="0" w:tplc="42287B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830BBD"/>
    <w:multiLevelType w:val="hybridMultilevel"/>
    <w:tmpl w:val="FB0A59CE"/>
    <w:styleLink w:val="ImportedStyle3"/>
    <w:lvl w:ilvl="0" w:tplc="A51CD54E">
      <w:start w:val="1"/>
      <w:numFmt w:val="lowerLetter"/>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CC4A2A">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D662C4">
      <w:start w:val="1"/>
      <w:numFmt w:val="lowerRoman"/>
      <w:lvlText w:val="%3."/>
      <w:lvlJc w:val="left"/>
      <w:pPr>
        <w:ind w:left="2160" w:hanging="32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68B03E">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8C76A8">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608001A">
      <w:start w:val="1"/>
      <w:numFmt w:val="lowerRoman"/>
      <w:lvlText w:val="%6."/>
      <w:lvlJc w:val="left"/>
      <w:pPr>
        <w:ind w:left="4320" w:hanging="32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6AECA0">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1605FE8">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B29FFC">
      <w:start w:val="1"/>
      <w:numFmt w:val="lowerRoman"/>
      <w:lvlText w:val="%9."/>
      <w:lvlJc w:val="left"/>
      <w:pPr>
        <w:ind w:left="6480" w:hanging="32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EF213E7"/>
    <w:multiLevelType w:val="hybridMultilevel"/>
    <w:tmpl w:val="FB0A59CE"/>
    <w:numStyleLink w:val="ImportedStyle3"/>
  </w:abstractNum>
  <w:abstractNum w:abstractNumId="5" w15:restartNumberingAfterBreak="0">
    <w:nsid w:val="13D747FD"/>
    <w:multiLevelType w:val="hybridMultilevel"/>
    <w:tmpl w:val="FA6E05B0"/>
    <w:lvl w:ilvl="0" w:tplc="997E09BE">
      <w:start w:val="1"/>
      <w:numFmt w:val="upperRoman"/>
      <w:lvlText w:val="%1."/>
      <w:lvlJc w:val="left"/>
      <w:pPr>
        <w:ind w:left="1440" w:hanging="720"/>
      </w:pPr>
      <w:rPr>
        <w:rFonts w:eastAsia="Arial Unicode M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6C083F"/>
    <w:multiLevelType w:val="hybridMultilevel"/>
    <w:tmpl w:val="0C9AD684"/>
    <w:lvl w:ilvl="0" w:tplc="04090001">
      <w:start w:val="1"/>
      <w:numFmt w:val="bullet"/>
      <w:lvlText w:val=""/>
      <w:lvlJc w:val="left"/>
      <w:pPr>
        <w:ind w:left="1230" w:hanging="360"/>
      </w:pPr>
      <w:rPr>
        <w:rFonts w:ascii="Symbol" w:hAnsi="Symbol" w:hint="default"/>
      </w:rPr>
    </w:lvl>
    <w:lvl w:ilvl="1" w:tplc="04090003">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7" w15:restartNumberingAfterBreak="0">
    <w:nsid w:val="20D8352A"/>
    <w:multiLevelType w:val="hybridMultilevel"/>
    <w:tmpl w:val="AF4EF1CA"/>
    <w:styleLink w:val="ImportedStyle1"/>
    <w:lvl w:ilvl="0" w:tplc="842E3E8E">
      <w:start w:val="1"/>
      <w:numFmt w:val="upperRoman"/>
      <w:lvlText w:val="%1."/>
      <w:lvlJc w:val="left"/>
      <w:pPr>
        <w:ind w:left="720" w:hanging="504"/>
      </w:pPr>
      <w:rPr>
        <w:rFonts w:ascii="Courier New" w:eastAsia="Courier New" w:hAnsi="Courier New" w:cs="Courier Ne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20CBDA8">
      <w:start w:val="1"/>
      <w:numFmt w:val="lowerLetter"/>
      <w:lvlText w:val="%2."/>
      <w:lvlJc w:val="left"/>
      <w:pPr>
        <w:ind w:left="1440" w:hanging="360"/>
      </w:pPr>
      <w:rPr>
        <w:rFonts w:ascii="Courier New" w:eastAsia="Courier New" w:hAnsi="Courier New" w:cs="Courier Ne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0ADD46">
      <w:start w:val="1"/>
      <w:numFmt w:val="lowerRoman"/>
      <w:lvlText w:val="%3."/>
      <w:lvlJc w:val="left"/>
      <w:pPr>
        <w:ind w:left="2160" w:hanging="324"/>
      </w:pPr>
      <w:rPr>
        <w:rFonts w:ascii="Courier New" w:eastAsia="Courier New" w:hAnsi="Courier New" w:cs="Courier Ne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6C53F6">
      <w:start w:val="1"/>
      <w:numFmt w:val="decimal"/>
      <w:lvlText w:val="%4."/>
      <w:lvlJc w:val="left"/>
      <w:pPr>
        <w:ind w:left="2880" w:hanging="360"/>
      </w:pPr>
      <w:rPr>
        <w:rFonts w:ascii="Courier New" w:eastAsia="Courier New" w:hAnsi="Courier New" w:cs="Courier Ne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B48C80">
      <w:start w:val="1"/>
      <w:numFmt w:val="lowerLetter"/>
      <w:lvlText w:val="%5."/>
      <w:lvlJc w:val="left"/>
      <w:pPr>
        <w:ind w:left="3600" w:hanging="360"/>
      </w:pPr>
      <w:rPr>
        <w:rFonts w:ascii="Courier New" w:eastAsia="Courier New" w:hAnsi="Courier New" w:cs="Courier Ne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EF444AE">
      <w:start w:val="1"/>
      <w:numFmt w:val="lowerRoman"/>
      <w:lvlText w:val="%6."/>
      <w:lvlJc w:val="left"/>
      <w:pPr>
        <w:ind w:left="4320" w:hanging="324"/>
      </w:pPr>
      <w:rPr>
        <w:rFonts w:ascii="Courier New" w:eastAsia="Courier New" w:hAnsi="Courier New" w:cs="Courier Ne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46D9B0">
      <w:start w:val="1"/>
      <w:numFmt w:val="decimal"/>
      <w:lvlText w:val="%7."/>
      <w:lvlJc w:val="left"/>
      <w:pPr>
        <w:ind w:left="5040" w:hanging="360"/>
      </w:pPr>
      <w:rPr>
        <w:rFonts w:ascii="Courier New" w:eastAsia="Courier New" w:hAnsi="Courier New" w:cs="Courier Ne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320C06">
      <w:start w:val="1"/>
      <w:numFmt w:val="lowerLetter"/>
      <w:lvlText w:val="%8."/>
      <w:lvlJc w:val="left"/>
      <w:pPr>
        <w:ind w:left="5760" w:hanging="360"/>
      </w:pPr>
      <w:rPr>
        <w:rFonts w:ascii="Courier New" w:eastAsia="Courier New" w:hAnsi="Courier New" w:cs="Courier Ne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96D320">
      <w:start w:val="1"/>
      <w:numFmt w:val="lowerRoman"/>
      <w:lvlText w:val="%9."/>
      <w:lvlJc w:val="left"/>
      <w:pPr>
        <w:ind w:left="6480" w:hanging="324"/>
      </w:pPr>
      <w:rPr>
        <w:rFonts w:ascii="Courier New" w:eastAsia="Courier New" w:hAnsi="Courier New" w:cs="Courier Ne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65424DA"/>
    <w:multiLevelType w:val="hybridMultilevel"/>
    <w:tmpl w:val="AF4EF1CA"/>
    <w:numStyleLink w:val="ImportedStyle1"/>
  </w:abstractNum>
  <w:abstractNum w:abstractNumId="9" w15:restartNumberingAfterBreak="0">
    <w:nsid w:val="274958A1"/>
    <w:multiLevelType w:val="hybridMultilevel"/>
    <w:tmpl w:val="273457F4"/>
    <w:lvl w:ilvl="0" w:tplc="9A34395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4B259B"/>
    <w:multiLevelType w:val="hybridMultilevel"/>
    <w:tmpl w:val="A7FE3AD2"/>
    <w:lvl w:ilvl="0" w:tplc="2A263D62">
      <w:start w:val="1"/>
      <w:numFmt w:val="decimal"/>
      <w:pStyle w:val="Heading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CC65B6"/>
    <w:multiLevelType w:val="hybridMultilevel"/>
    <w:tmpl w:val="E3A61978"/>
    <w:lvl w:ilvl="0" w:tplc="2758E49C">
      <w:start w:val="1"/>
      <w:numFmt w:val="decimal"/>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961DF"/>
    <w:multiLevelType w:val="hybridMultilevel"/>
    <w:tmpl w:val="B1D6036A"/>
    <w:lvl w:ilvl="0" w:tplc="272E576E">
      <w:start w:val="1"/>
      <w:numFmt w:val="decimal"/>
      <w:lvlText w:val="%1."/>
      <w:lvlJc w:val="left"/>
      <w:pPr>
        <w:ind w:left="1080" w:hanging="360"/>
      </w:pPr>
      <w:rPr>
        <w:rFonts w:eastAsia="Arial Unicode MS" w:cs="Arial Unicode M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141C78"/>
    <w:multiLevelType w:val="hybridMultilevel"/>
    <w:tmpl w:val="9FE8F850"/>
    <w:lvl w:ilvl="0" w:tplc="AAACF938">
      <w:start w:val="1"/>
      <w:numFmt w:val="decimal"/>
      <w:lvlText w:val="%1."/>
      <w:lvlJc w:val="left"/>
      <w:pPr>
        <w:ind w:left="1440" w:hanging="360"/>
      </w:pPr>
      <w:rPr>
        <w:rFonts w:eastAsia="Arial Unicode MS" w:cs="Arial Unicode M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07B7A2A"/>
    <w:multiLevelType w:val="hybridMultilevel"/>
    <w:tmpl w:val="73AA998E"/>
    <w:lvl w:ilvl="0" w:tplc="23A0353A">
      <w:start w:val="1"/>
      <w:numFmt w:val="upperLetter"/>
      <w:pStyle w:val="Heading2"/>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DB1384"/>
    <w:multiLevelType w:val="hybridMultilevel"/>
    <w:tmpl w:val="CDEA10EC"/>
    <w:styleLink w:val="ImportedStyle4"/>
    <w:lvl w:ilvl="0" w:tplc="AE102806">
      <w:start w:val="1"/>
      <w:numFmt w:val="decimal"/>
      <w:lvlText w:val="%1."/>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08CDBD6">
      <w:start w:val="1"/>
      <w:numFmt w:val="lowerLetter"/>
      <w:lvlText w:val="%2."/>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BA1B1E">
      <w:start w:val="1"/>
      <w:numFmt w:val="lowerRoman"/>
      <w:lvlText w:val="%3."/>
      <w:lvlJc w:val="left"/>
      <w:pPr>
        <w:ind w:left="2160" w:hanging="32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08F984">
      <w:start w:val="1"/>
      <w:numFmt w:val="decimal"/>
      <w:lvlText w:val="%4."/>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98FBDC">
      <w:start w:val="1"/>
      <w:numFmt w:val="lowerLetter"/>
      <w:lvlText w:val="%5."/>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466368">
      <w:start w:val="1"/>
      <w:numFmt w:val="lowerRoman"/>
      <w:lvlText w:val="%6."/>
      <w:lvlJc w:val="left"/>
      <w:pPr>
        <w:ind w:left="4320" w:hanging="32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A88C90">
      <w:start w:val="1"/>
      <w:numFmt w:val="decimal"/>
      <w:lvlText w:val="%7."/>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E63CDA">
      <w:start w:val="1"/>
      <w:numFmt w:val="lowerLetter"/>
      <w:lvlText w:val="%8."/>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C4988E">
      <w:start w:val="1"/>
      <w:numFmt w:val="lowerRoman"/>
      <w:lvlText w:val="%9."/>
      <w:lvlJc w:val="left"/>
      <w:pPr>
        <w:ind w:left="6480" w:hanging="32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51A328B5"/>
    <w:multiLevelType w:val="hybridMultilevel"/>
    <w:tmpl w:val="BF885E6E"/>
    <w:styleLink w:val="Lettered"/>
    <w:lvl w:ilvl="0" w:tplc="05002D38">
      <w:start w:val="1"/>
      <w:numFmt w:val="upperLetter"/>
      <w:lvlText w:val="%1."/>
      <w:lvlJc w:val="left"/>
      <w:pPr>
        <w:tabs>
          <w:tab w:val="num" w:pos="649"/>
        </w:tabs>
        <w:ind w:left="289" w:firstLine="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C8DA48">
      <w:start w:val="1"/>
      <w:numFmt w:val="upperLetter"/>
      <w:lvlText w:val="%2."/>
      <w:lvlJc w:val="left"/>
      <w:pPr>
        <w:tabs>
          <w:tab w:val="num" w:pos="1649"/>
        </w:tabs>
        <w:ind w:left="1289" w:firstLine="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58F4A4">
      <w:start w:val="1"/>
      <w:numFmt w:val="upperLetter"/>
      <w:lvlText w:val="%3."/>
      <w:lvlJc w:val="left"/>
      <w:pPr>
        <w:tabs>
          <w:tab w:val="num" w:pos="2649"/>
        </w:tabs>
        <w:ind w:left="2289" w:firstLine="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B2C6D4">
      <w:start w:val="1"/>
      <w:numFmt w:val="upperLetter"/>
      <w:lvlText w:val="%4."/>
      <w:lvlJc w:val="left"/>
      <w:pPr>
        <w:tabs>
          <w:tab w:val="num" w:pos="3649"/>
        </w:tabs>
        <w:ind w:left="3289" w:firstLine="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248440">
      <w:start w:val="1"/>
      <w:numFmt w:val="upperLetter"/>
      <w:lvlText w:val="%5."/>
      <w:lvlJc w:val="left"/>
      <w:pPr>
        <w:tabs>
          <w:tab w:val="num" w:pos="4649"/>
        </w:tabs>
        <w:ind w:left="4289" w:firstLine="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4BA36CA">
      <w:start w:val="1"/>
      <w:numFmt w:val="upperLetter"/>
      <w:lvlText w:val="%6."/>
      <w:lvlJc w:val="left"/>
      <w:pPr>
        <w:tabs>
          <w:tab w:val="num" w:pos="5649"/>
        </w:tabs>
        <w:ind w:left="5289" w:firstLine="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BCD460">
      <w:start w:val="1"/>
      <w:numFmt w:val="upperLetter"/>
      <w:lvlText w:val="%7."/>
      <w:lvlJc w:val="left"/>
      <w:pPr>
        <w:tabs>
          <w:tab w:val="num" w:pos="6649"/>
        </w:tabs>
        <w:ind w:left="6289" w:firstLine="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3ACEDCE">
      <w:start w:val="1"/>
      <w:numFmt w:val="upperLetter"/>
      <w:lvlText w:val="%8."/>
      <w:lvlJc w:val="left"/>
      <w:pPr>
        <w:tabs>
          <w:tab w:val="num" w:pos="7649"/>
        </w:tabs>
        <w:ind w:left="7289" w:firstLine="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9C99E8">
      <w:start w:val="1"/>
      <w:numFmt w:val="upperLetter"/>
      <w:lvlText w:val="%9."/>
      <w:lvlJc w:val="left"/>
      <w:pPr>
        <w:tabs>
          <w:tab w:val="num" w:pos="8649"/>
        </w:tabs>
        <w:ind w:left="8289" w:firstLine="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E28610B"/>
    <w:multiLevelType w:val="hybridMultilevel"/>
    <w:tmpl w:val="7B387712"/>
    <w:lvl w:ilvl="0" w:tplc="5EBCB61A">
      <w:start w:val="1"/>
      <w:numFmt w:val="upperRoman"/>
      <w:lvlText w:val="%1."/>
      <w:lvlJc w:val="left"/>
      <w:pPr>
        <w:ind w:left="1080" w:hanging="72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612974"/>
    <w:multiLevelType w:val="hybridMultilevel"/>
    <w:tmpl w:val="E2D8F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797B93"/>
    <w:multiLevelType w:val="hybridMultilevel"/>
    <w:tmpl w:val="CDEA10EC"/>
    <w:numStyleLink w:val="ImportedStyle4"/>
  </w:abstractNum>
  <w:abstractNum w:abstractNumId="20" w15:restartNumberingAfterBreak="0">
    <w:nsid w:val="6D425064"/>
    <w:multiLevelType w:val="hybridMultilevel"/>
    <w:tmpl w:val="F01CFFFC"/>
    <w:numStyleLink w:val="Bullets"/>
  </w:abstractNum>
  <w:abstractNum w:abstractNumId="21" w15:restartNumberingAfterBreak="0">
    <w:nsid w:val="706D642A"/>
    <w:multiLevelType w:val="hybridMultilevel"/>
    <w:tmpl w:val="C8BA1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C62C81"/>
    <w:multiLevelType w:val="hybridMultilevel"/>
    <w:tmpl w:val="25E2CA12"/>
    <w:lvl w:ilvl="0" w:tplc="BF327E3A">
      <w:start w:val="1"/>
      <w:numFmt w:val="upperRoman"/>
      <w:pStyle w:val="Heading1"/>
      <w:lvlText w:val="%1."/>
      <w:lvlJc w:val="left"/>
      <w:pPr>
        <w:ind w:left="720" w:hanging="360"/>
      </w:pPr>
      <w:rPr>
        <w:rFonts w:ascii="Courier New" w:hAnsi="Courier New"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4C7BB1"/>
    <w:multiLevelType w:val="hybridMultilevel"/>
    <w:tmpl w:val="F01CFFFC"/>
    <w:styleLink w:val="Bullets"/>
    <w:lvl w:ilvl="0" w:tplc="10C6BE88">
      <w:start w:val="1"/>
      <w:numFmt w:val="bullet"/>
      <w:lvlText w:val="-"/>
      <w:lvlJc w:val="left"/>
      <w:pPr>
        <w:tabs>
          <w:tab w:val="num" w:pos="534"/>
        </w:tabs>
        <w:ind w:left="174" w:firstLine="1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F46E92">
      <w:start w:val="1"/>
      <w:numFmt w:val="bullet"/>
      <w:lvlText w:val="-"/>
      <w:lvlJc w:val="left"/>
      <w:pPr>
        <w:tabs>
          <w:tab w:val="num" w:pos="1134"/>
        </w:tabs>
        <w:ind w:left="774" w:firstLine="1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3EB52C">
      <w:start w:val="1"/>
      <w:numFmt w:val="bullet"/>
      <w:lvlText w:val="-"/>
      <w:lvlJc w:val="left"/>
      <w:pPr>
        <w:tabs>
          <w:tab w:val="num" w:pos="1734"/>
        </w:tabs>
        <w:ind w:left="1374" w:firstLine="1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1E7B46">
      <w:start w:val="1"/>
      <w:numFmt w:val="bullet"/>
      <w:lvlText w:val="-"/>
      <w:lvlJc w:val="left"/>
      <w:pPr>
        <w:tabs>
          <w:tab w:val="num" w:pos="2334"/>
        </w:tabs>
        <w:ind w:left="1974" w:firstLine="1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7CE096">
      <w:start w:val="1"/>
      <w:numFmt w:val="bullet"/>
      <w:lvlText w:val="-"/>
      <w:lvlJc w:val="left"/>
      <w:pPr>
        <w:tabs>
          <w:tab w:val="num" w:pos="2934"/>
        </w:tabs>
        <w:ind w:left="2574" w:firstLine="1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3BC9F00">
      <w:start w:val="1"/>
      <w:numFmt w:val="bullet"/>
      <w:lvlText w:val="-"/>
      <w:lvlJc w:val="left"/>
      <w:pPr>
        <w:tabs>
          <w:tab w:val="num" w:pos="3534"/>
        </w:tabs>
        <w:ind w:left="3174" w:firstLine="1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64EB7E">
      <w:start w:val="1"/>
      <w:numFmt w:val="bullet"/>
      <w:lvlText w:val="-"/>
      <w:lvlJc w:val="left"/>
      <w:pPr>
        <w:tabs>
          <w:tab w:val="num" w:pos="4134"/>
        </w:tabs>
        <w:ind w:left="3774" w:firstLine="1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6276F8">
      <w:start w:val="1"/>
      <w:numFmt w:val="bullet"/>
      <w:lvlText w:val="-"/>
      <w:lvlJc w:val="left"/>
      <w:pPr>
        <w:tabs>
          <w:tab w:val="num" w:pos="4734"/>
        </w:tabs>
        <w:ind w:left="4374" w:firstLine="1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4A4E146">
      <w:start w:val="1"/>
      <w:numFmt w:val="bullet"/>
      <w:lvlText w:val="-"/>
      <w:lvlJc w:val="left"/>
      <w:pPr>
        <w:tabs>
          <w:tab w:val="num" w:pos="5334"/>
        </w:tabs>
        <w:ind w:left="4974" w:firstLine="1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795E4F1B"/>
    <w:multiLevelType w:val="hybridMultilevel"/>
    <w:tmpl w:val="2D00C6DA"/>
    <w:styleLink w:val="ImportedStyle2"/>
    <w:lvl w:ilvl="0" w:tplc="1C94CCFC">
      <w:start w:val="1"/>
      <w:numFmt w:val="decimal"/>
      <w:lvlText w:val="%1."/>
      <w:lvlJc w:val="left"/>
      <w:pPr>
        <w:ind w:left="720" w:hanging="360"/>
      </w:pPr>
      <w:rPr>
        <w:rFonts w:ascii="Courier New" w:eastAsia="Courier New" w:hAnsi="Courier New" w:cs="Courier Ne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4A9094">
      <w:start w:val="1"/>
      <w:numFmt w:val="lowerLetter"/>
      <w:lvlText w:val="%2."/>
      <w:lvlJc w:val="left"/>
      <w:pPr>
        <w:ind w:left="1440" w:hanging="360"/>
      </w:pPr>
      <w:rPr>
        <w:rFonts w:ascii="Courier New" w:eastAsia="Courier New" w:hAnsi="Courier New" w:cs="Courier Ne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F7267F4">
      <w:start w:val="1"/>
      <w:numFmt w:val="lowerRoman"/>
      <w:lvlText w:val="%3."/>
      <w:lvlJc w:val="left"/>
      <w:pPr>
        <w:ind w:left="2160" w:hanging="324"/>
      </w:pPr>
      <w:rPr>
        <w:rFonts w:ascii="Courier New" w:eastAsia="Courier New" w:hAnsi="Courier New" w:cs="Courier Ne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CDA5AD4">
      <w:start w:val="1"/>
      <w:numFmt w:val="decimal"/>
      <w:lvlText w:val="%4."/>
      <w:lvlJc w:val="left"/>
      <w:pPr>
        <w:ind w:left="2880" w:hanging="360"/>
      </w:pPr>
      <w:rPr>
        <w:rFonts w:ascii="Courier New" w:eastAsia="Courier New" w:hAnsi="Courier New" w:cs="Courier Ne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488261A">
      <w:start w:val="1"/>
      <w:numFmt w:val="lowerLetter"/>
      <w:lvlText w:val="%5."/>
      <w:lvlJc w:val="left"/>
      <w:pPr>
        <w:ind w:left="3600" w:hanging="360"/>
      </w:pPr>
      <w:rPr>
        <w:rFonts w:ascii="Courier New" w:eastAsia="Courier New" w:hAnsi="Courier New" w:cs="Courier Ne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E14684C">
      <w:start w:val="1"/>
      <w:numFmt w:val="lowerRoman"/>
      <w:lvlText w:val="%6."/>
      <w:lvlJc w:val="left"/>
      <w:pPr>
        <w:ind w:left="4320" w:hanging="324"/>
      </w:pPr>
      <w:rPr>
        <w:rFonts w:ascii="Courier New" w:eastAsia="Courier New" w:hAnsi="Courier New" w:cs="Courier Ne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4A25FE">
      <w:start w:val="1"/>
      <w:numFmt w:val="decimal"/>
      <w:lvlText w:val="%7."/>
      <w:lvlJc w:val="left"/>
      <w:pPr>
        <w:ind w:left="5040" w:hanging="360"/>
      </w:pPr>
      <w:rPr>
        <w:rFonts w:ascii="Courier New" w:eastAsia="Courier New" w:hAnsi="Courier New" w:cs="Courier Ne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D067BBA">
      <w:start w:val="1"/>
      <w:numFmt w:val="lowerLetter"/>
      <w:lvlText w:val="%8."/>
      <w:lvlJc w:val="left"/>
      <w:pPr>
        <w:ind w:left="5760" w:hanging="360"/>
      </w:pPr>
      <w:rPr>
        <w:rFonts w:ascii="Courier New" w:eastAsia="Courier New" w:hAnsi="Courier New" w:cs="Courier Ne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60C834">
      <w:start w:val="1"/>
      <w:numFmt w:val="lowerRoman"/>
      <w:lvlText w:val="%9."/>
      <w:lvlJc w:val="left"/>
      <w:pPr>
        <w:ind w:left="6480" w:hanging="324"/>
      </w:pPr>
      <w:rPr>
        <w:rFonts w:ascii="Courier New" w:eastAsia="Courier New" w:hAnsi="Courier New" w:cs="Courier Ne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7A013C98"/>
    <w:multiLevelType w:val="hybridMultilevel"/>
    <w:tmpl w:val="2D00C6DA"/>
    <w:numStyleLink w:val="ImportedStyle2"/>
  </w:abstractNum>
  <w:num w:numId="1">
    <w:abstractNumId w:val="7"/>
  </w:num>
  <w:num w:numId="2">
    <w:abstractNumId w:val="8"/>
  </w:num>
  <w:num w:numId="3">
    <w:abstractNumId w:val="24"/>
  </w:num>
  <w:num w:numId="4">
    <w:abstractNumId w:val="25"/>
  </w:num>
  <w:num w:numId="5">
    <w:abstractNumId w:val="3"/>
  </w:num>
  <w:num w:numId="6">
    <w:abstractNumId w:val="4"/>
  </w:num>
  <w:num w:numId="7">
    <w:abstractNumId w:val="25"/>
    <w:lvlOverride w:ilvl="0">
      <w:startOverride w:val="2"/>
    </w:lvlOverride>
  </w:num>
  <w:num w:numId="8">
    <w:abstractNumId w:val="8"/>
    <w:lvlOverride w:ilvl="0">
      <w:startOverride w:val="1"/>
      <w:lvl w:ilvl="0" w:tplc="04F0E566">
        <w:start w:val="1"/>
        <w:numFmt w:val="upperRoman"/>
        <w:lvlText w:val="%1."/>
        <w:lvlJc w:val="left"/>
        <w:pPr>
          <w:tabs>
            <w:tab w:val="num" w:pos="1038"/>
          </w:tabs>
          <w:ind w:left="678" w:hanging="10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9EE6550">
        <w:start w:val="1"/>
        <w:numFmt w:val="lowerLetter"/>
        <w:lvlText w:val="%2."/>
        <w:lvlJc w:val="left"/>
        <w:pPr>
          <w:tabs>
            <w:tab w:val="num" w:pos="1770"/>
          </w:tabs>
          <w:ind w:left="1410" w:firstLine="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AD02146">
        <w:start w:val="1"/>
        <w:numFmt w:val="lowerRoman"/>
        <w:suff w:val="nothing"/>
        <w:lvlText w:val="%3."/>
        <w:lvlJc w:val="left"/>
        <w:pPr>
          <w:ind w:left="2135" w:firstLine="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5EE55B8">
        <w:start w:val="1"/>
        <w:numFmt w:val="decimal"/>
        <w:lvlText w:val="%4."/>
        <w:lvlJc w:val="left"/>
        <w:pPr>
          <w:tabs>
            <w:tab w:val="num" w:pos="3210"/>
          </w:tabs>
          <w:ind w:left="2850" w:firstLine="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EF83446">
        <w:start w:val="1"/>
        <w:numFmt w:val="lowerLetter"/>
        <w:lvlText w:val="%5."/>
        <w:lvlJc w:val="left"/>
        <w:pPr>
          <w:tabs>
            <w:tab w:val="num" w:pos="3930"/>
          </w:tabs>
          <w:ind w:left="3570" w:firstLine="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07E9754">
        <w:start w:val="1"/>
        <w:numFmt w:val="lowerRoman"/>
        <w:suff w:val="nothing"/>
        <w:lvlText w:val="%6."/>
        <w:lvlJc w:val="left"/>
        <w:pPr>
          <w:ind w:left="4295" w:firstLine="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44E7118">
        <w:start w:val="1"/>
        <w:numFmt w:val="decimal"/>
        <w:lvlText w:val="%7."/>
        <w:lvlJc w:val="left"/>
        <w:pPr>
          <w:tabs>
            <w:tab w:val="num" w:pos="5370"/>
          </w:tabs>
          <w:ind w:left="5010" w:firstLine="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6BC6256">
        <w:start w:val="1"/>
        <w:numFmt w:val="lowerLetter"/>
        <w:lvlText w:val="%8."/>
        <w:lvlJc w:val="left"/>
        <w:pPr>
          <w:tabs>
            <w:tab w:val="num" w:pos="6090"/>
          </w:tabs>
          <w:ind w:left="5730" w:firstLine="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6C484A6">
        <w:start w:val="1"/>
        <w:numFmt w:val="lowerRoman"/>
        <w:suff w:val="nothing"/>
        <w:lvlText w:val="%9."/>
        <w:lvlJc w:val="left"/>
        <w:pPr>
          <w:ind w:left="6455" w:firstLine="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16"/>
  </w:num>
  <w:num w:numId="10">
    <w:abstractNumId w:val="0"/>
  </w:num>
  <w:num w:numId="11">
    <w:abstractNumId w:val="23"/>
  </w:num>
  <w:num w:numId="12">
    <w:abstractNumId w:val="20"/>
  </w:num>
  <w:num w:numId="13">
    <w:abstractNumId w:val="20"/>
    <w:lvlOverride w:ilvl="0">
      <w:lvl w:ilvl="0" w:tplc="E54C1958">
        <w:start w:val="1"/>
        <w:numFmt w:val="bullet"/>
        <w:lvlText w:val="-"/>
        <w:lvlJc w:val="left"/>
        <w:pPr>
          <w:tabs>
            <w:tab w:val="num" w:pos="534"/>
          </w:tabs>
          <w:ind w:left="174" w:firstLine="1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FE64DC4">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BD85ED6">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C7A78E8">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5FC9D3E">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F705CE6">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E58712C">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27C5B1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CCC2730">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15"/>
  </w:num>
  <w:num w:numId="15">
    <w:abstractNumId w:val="19"/>
  </w:num>
  <w:num w:numId="16">
    <w:abstractNumId w:val="1"/>
  </w:num>
  <w:num w:numId="17">
    <w:abstractNumId w:val="22"/>
  </w:num>
  <w:num w:numId="18">
    <w:abstractNumId w:val="9"/>
  </w:num>
  <w:num w:numId="19">
    <w:abstractNumId w:val="10"/>
  </w:num>
  <w:num w:numId="20">
    <w:abstractNumId w:val="14"/>
  </w:num>
  <w:num w:numId="21">
    <w:abstractNumId w:val="14"/>
    <w:lvlOverride w:ilvl="0">
      <w:startOverride w:val="1"/>
    </w:lvlOverride>
  </w:num>
  <w:num w:numId="22">
    <w:abstractNumId w:val="6"/>
  </w:num>
  <w:num w:numId="23">
    <w:abstractNumId w:val="21"/>
  </w:num>
  <w:num w:numId="24">
    <w:abstractNumId w:val="18"/>
  </w:num>
  <w:num w:numId="25">
    <w:abstractNumId w:val="12"/>
  </w:num>
  <w:num w:numId="26">
    <w:abstractNumId w:val="13"/>
  </w:num>
  <w:num w:numId="27">
    <w:abstractNumId w:val="11"/>
  </w:num>
  <w:num w:numId="28">
    <w:abstractNumId w:val="2"/>
  </w:num>
  <w:num w:numId="29">
    <w:abstractNumId w:val="5"/>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068"/>
    <w:rsid w:val="00011000"/>
    <w:rsid w:val="00025036"/>
    <w:rsid w:val="0006320B"/>
    <w:rsid w:val="00067D97"/>
    <w:rsid w:val="00070B9B"/>
    <w:rsid w:val="00081D6A"/>
    <w:rsid w:val="0009051E"/>
    <w:rsid w:val="00093ACA"/>
    <w:rsid w:val="000A63DC"/>
    <w:rsid w:val="000B446F"/>
    <w:rsid w:val="000B736A"/>
    <w:rsid w:val="000C02CF"/>
    <w:rsid w:val="000C0A32"/>
    <w:rsid w:val="000C1F40"/>
    <w:rsid w:val="000D2F69"/>
    <w:rsid w:val="000F0350"/>
    <w:rsid w:val="001016CF"/>
    <w:rsid w:val="00110365"/>
    <w:rsid w:val="001156D7"/>
    <w:rsid w:val="00116018"/>
    <w:rsid w:val="00140039"/>
    <w:rsid w:val="0014065B"/>
    <w:rsid w:val="0015092A"/>
    <w:rsid w:val="001629BC"/>
    <w:rsid w:val="00173398"/>
    <w:rsid w:val="0018316D"/>
    <w:rsid w:val="0018789A"/>
    <w:rsid w:val="00191F0C"/>
    <w:rsid w:val="00194EFB"/>
    <w:rsid w:val="00197737"/>
    <w:rsid w:val="001A24F6"/>
    <w:rsid w:val="001A53CB"/>
    <w:rsid w:val="001A7FDF"/>
    <w:rsid w:val="001B3E99"/>
    <w:rsid w:val="001D214E"/>
    <w:rsid w:val="001D4545"/>
    <w:rsid w:val="001D4BE5"/>
    <w:rsid w:val="001E224B"/>
    <w:rsid w:val="001E3CCF"/>
    <w:rsid w:val="00203F1B"/>
    <w:rsid w:val="00210558"/>
    <w:rsid w:val="00225690"/>
    <w:rsid w:val="00225777"/>
    <w:rsid w:val="00232EF1"/>
    <w:rsid w:val="002417F0"/>
    <w:rsid w:val="00242C2E"/>
    <w:rsid w:val="00247CDE"/>
    <w:rsid w:val="0025740F"/>
    <w:rsid w:val="00257E73"/>
    <w:rsid w:val="002750CF"/>
    <w:rsid w:val="00280855"/>
    <w:rsid w:val="00286D6E"/>
    <w:rsid w:val="00290464"/>
    <w:rsid w:val="00296DB3"/>
    <w:rsid w:val="002B5913"/>
    <w:rsid w:val="002D0DB1"/>
    <w:rsid w:val="002D24BF"/>
    <w:rsid w:val="002D35EC"/>
    <w:rsid w:val="00301371"/>
    <w:rsid w:val="00302F59"/>
    <w:rsid w:val="00311A4A"/>
    <w:rsid w:val="00311D17"/>
    <w:rsid w:val="003172E8"/>
    <w:rsid w:val="00323FA4"/>
    <w:rsid w:val="003253C0"/>
    <w:rsid w:val="003301A3"/>
    <w:rsid w:val="00340C93"/>
    <w:rsid w:val="003548D5"/>
    <w:rsid w:val="00356153"/>
    <w:rsid w:val="00357C1B"/>
    <w:rsid w:val="00363DD5"/>
    <w:rsid w:val="00370F74"/>
    <w:rsid w:val="003E58C2"/>
    <w:rsid w:val="003F0CBA"/>
    <w:rsid w:val="003F5E16"/>
    <w:rsid w:val="003F7918"/>
    <w:rsid w:val="004033EB"/>
    <w:rsid w:val="00412CF0"/>
    <w:rsid w:val="00417491"/>
    <w:rsid w:val="00417B06"/>
    <w:rsid w:val="00423AB9"/>
    <w:rsid w:val="00424DFC"/>
    <w:rsid w:val="00427B9C"/>
    <w:rsid w:val="00430AB4"/>
    <w:rsid w:val="00431586"/>
    <w:rsid w:val="00433923"/>
    <w:rsid w:val="004377CA"/>
    <w:rsid w:val="00444E7D"/>
    <w:rsid w:val="00457EE0"/>
    <w:rsid w:val="0046304F"/>
    <w:rsid w:val="00464DE2"/>
    <w:rsid w:val="0047126A"/>
    <w:rsid w:val="00473447"/>
    <w:rsid w:val="00497559"/>
    <w:rsid w:val="00497F3D"/>
    <w:rsid w:val="004A430F"/>
    <w:rsid w:val="004A4B6D"/>
    <w:rsid w:val="004B66C7"/>
    <w:rsid w:val="004C7A94"/>
    <w:rsid w:val="004D2596"/>
    <w:rsid w:val="004E41A8"/>
    <w:rsid w:val="004E5206"/>
    <w:rsid w:val="004F5769"/>
    <w:rsid w:val="004F7FBB"/>
    <w:rsid w:val="0050632C"/>
    <w:rsid w:val="00517C48"/>
    <w:rsid w:val="00534936"/>
    <w:rsid w:val="00543C2C"/>
    <w:rsid w:val="005734C6"/>
    <w:rsid w:val="00586165"/>
    <w:rsid w:val="00591B58"/>
    <w:rsid w:val="00595525"/>
    <w:rsid w:val="005A566F"/>
    <w:rsid w:val="005B545C"/>
    <w:rsid w:val="005B5C6C"/>
    <w:rsid w:val="005B650B"/>
    <w:rsid w:val="005B71BA"/>
    <w:rsid w:val="005C7D81"/>
    <w:rsid w:val="005D4646"/>
    <w:rsid w:val="005E27D8"/>
    <w:rsid w:val="005E3DB7"/>
    <w:rsid w:val="00623997"/>
    <w:rsid w:val="0064063C"/>
    <w:rsid w:val="006409C1"/>
    <w:rsid w:val="00641971"/>
    <w:rsid w:val="00655244"/>
    <w:rsid w:val="00670E42"/>
    <w:rsid w:val="006727A6"/>
    <w:rsid w:val="0067624C"/>
    <w:rsid w:val="006764E4"/>
    <w:rsid w:val="00687D09"/>
    <w:rsid w:val="00691251"/>
    <w:rsid w:val="006A54B3"/>
    <w:rsid w:val="006A5DB9"/>
    <w:rsid w:val="006A6B78"/>
    <w:rsid w:val="006B503E"/>
    <w:rsid w:val="006D192E"/>
    <w:rsid w:val="006D1AFA"/>
    <w:rsid w:val="006D3F39"/>
    <w:rsid w:val="006D4E8D"/>
    <w:rsid w:val="006E1163"/>
    <w:rsid w:val="006E6D3D"/>
    <w:rsid w:val="006F1BEF"/>
    <w:rsid w:val="00701F42"/>
    <w:rsid w:val="0072288E"/>
    <w:rsid w:val="007558C1"/>
    <w:rsid w:val="00756466"/>
    <w:rsid w:val="007876F3"/>
    <w:rsid w:val="00796185"/>
    <w:rsid w:val="007978EE"/>
    <w:rsid w:val="007A4148"/>
    <w:rsid w:val="007B10B3"/>
    <w:rsid w:val="007B60FB"/>
    <w:rsid w:val="007C4ACF"/>
    <w:rsid w:val="007C5AF0"/>
    <w:rsid w:val="007E333A"/>
    <w:rsid w:val="008104C2"/>
    <w:rsid w:val="00811149"/>
    <w:rsid w:val="00826415"/>
    <w:rsid w:val="008275F6"/>
    <w:rsid w:val="00831FF5"/>
    <w:rsid w:val="00832CE1"/>
    <w:rsid w:val="00840701"/>
    <w:rsid w:val="00844BA0"/>
    <w:rsid w:val="00853B52"/>
    <w:rsid w:val="0085549B"/>
    <w:rsid w:val="00870AAE"/>
    <w:rsid w:val="0087105E"/>
    <w:rsid w:val="00881D55"/>
    <w:rsid w:val="00884E51"/>
    <w:rsid w:val="00895CE8"/>
    <w:rsid w:val="008A6AD2"/>
    <w:rsid w:val="008A7AE8"/>
    <w:rsid w:val="008C0987"/>
    <w:rsid w:val="008C0E37"/>
    <w:rsid w:val="008C1D99"/>
    <w:rsid w:val="008D4EB9"/>
    <w:rsid w:val="008D6ACA"/>
    <w:rsid w:val="008E66BE"/>
    <w:rsid w:val="008F560E"/>
    <w:rsid w:val="008F5C35"/>
    <w:rsid w:val="008F7A00"/>
    <w:rsid w:val="00920F64"/>
    <w:rsid w:val="00927B2E"/>
    <w:rsid w:val="00927E57"/>
    <w:rsid w:val="009471F8"/>
    <w:rsid w:val="00952E01"/>
    <w:rsid w:val="00960F41"/>
    <w:rsid w:val="00974A6D"/>
    <w:rsid w:val="00981433"/>
    <w:rsid w:val="00981980"/>
    <w:rsid w:val="00990C7D"/>
    <w:rsid w:val="00992853"/>
    <w:rsid w:val="00996AD1"/>
    <w:rsid w:val="009B449E"/>
    <w:rsid w:val="009C21EF"/>
    <w:rsid w:val="009C291E"/>
    <w:rsid w:val="009C4C0B"/>
    <w:rsid w:val="009C6775"/>
    <w:rsid w:val="009E1AF6"/>
    <w:rsid w:val="00A069DD"/>
    <w:rsid w:val="00A176D2"/>
    <w:rsid w:val="00A248BF"/>
    <w:rsid w:val="00A40A59"/>
    <w:rsid w:val="00A4228D"/>
    <w:rsid w:val="00A46E3A"/>
    <w:rsid w:val="00A510A2"/>
    <w:rsid w:val="00A57F56"/>
    <w:rsid w:val="00A626AC"/>
    <w:rsid w:val="00A670DF"/>
    <w:rsid w:val="00A83692"/>
    <w:rsid w:val="00A915D2"/>
    <w:rsid w:val="00A957CC"/>
    <w:rsid w:val="00AA503D"/>
    <w:rsid w:val="00AB04C4"/>
    <w:rsid w:val="00AC3159"/>
    <w:rsid w:val="00AC54E2"/>
    <w:rsid w:val="00AE44A6"/>
    <w:rsid w:val="00AE4BD0"/>
    <w:rsid w:val="00AE7964"/>
    <w:rsid w:val="00B00C6A"/>
    <w:rsid w:val="00B0314E"/>
    <w:rsid w:val="00B1218B"/>
    <w:rsid w:val="00B24420"/>
    <w:rsid w:val="00B326E2"/>
    <w:rsid w:val="00B40282"/>
    <w:rsid w:val="00B45AEB"/>
    <w:rsid w:val="00B665FD"/>
    <w:rsid w:val="00B6759F"/>
    <w:rsid w:val="00B75D8D"/>
    <w:rsid w:val="00B81676"/>
    <w:rsid w:val="00B90C7B"/>
    <w:rsid w:val="00B91EC3"/>
    <w:rsid w:val="00B93B97"/>
    <w:rsid w:val="00BA231A"/>
    <w:rsid w:val="00BA64F8"/>
    <w:rsid w:val="00BC02C3"/>
    <w:rsid w:val="00BC35C6"/>
    <w:rsid w:val="00BC4EE0"/>
    <w:rsid w:val="00BD01F6"/>
    <w:rsid w:val="00BD1584"/>
    <w:rsid w:val="00BE5320"/>
    <w:rsid w:val="00BE6DF0"/>
    <w:rsid w:val="00BF331F"/>
    <w:rsid w:val="00C148E1"/>
    <w:rsid w:val="00C17656"/>
    <w:rsid w:val="00C179BC"/>
    <w:rsid w:val="00C302DA"/>
    <w:rsid w:val="00C31AD2"/>
    <w:rsid w:val="00C35A0E"/>
    <w:rsid w:val="00C4019E"/>
    <w:rsid w:val="00C42BFE"/>
    <w:rsid w:val="00C45D05"/>
    <w:rsid w:val="00C47424"/>
    <w:rsid w:val="00C54738"/>
    <w:rsid w:val="00C565E5"/>
    <w:rsid w:val="00C62503"/>
    <w:rsid w:val="00C75FDB"/>
    <w:rsid w:val="00C776A9"/>
    <w:rsid w:val="00C8352F"/>
    <w:rsid w:val="00C902F4"/>
    <w:rsid w:val="00C93CDD"/>
    <w:rsid w:val="00CA6686"/>
    <w:rsid w:val="00CB17FA"/>
    <w:rsid w:val="00CB2851"/>
    <w:rsid w:val="00CB6432"/>
    <w:rsid w:val="00CC76CF"/>
    <w:rsid w:val="00CF3ADE"/>
    <w:rsid w:val="00CF4939"/>
    <w:rsid w:val="00D143CF"/>
    <w:rsid w:val="00D162E4"/>
    <w:rsid w:val="00D17BFD"/>
    <w:rsid w:val="00D2417C"/>
    <w:rsid w:val="00D331ED"/>
    <w:rsid w:val="00D36AE6"/>
    <w:rsid w:val="00D3766A"/>
    <w:rsid w:val="00D42BEC"/>
    <w:rsid w:val="00D556A1"/>
    <w:rsid w:val="00D57301"/>
    <w:rsid w:val="00D60031"/>
    <w:rsid w:val="00D66603"/>
    <w:rsid w:val="00D73D76"/>
    <w:rsid w:val="00D82C59"/>
    <w:rsid w:val="00D84BA4"/>
    <w:rsid w:val="00DA1454"/>
    <w:rsid w:val="00DA6177"/>
    <w:rsid w:val="00DA64C3"/>
    <w:rsid w:val="00DB0C7F"/>
    <w:rsid w:val="00DB3C1B"/>
    <w:rsid w:val="00DB5817"/>
    <w:rsid w:val="00DC5952"/>
    <w:rsid w:val="00DD1A47"/>
    <w:rsid w:val="00DE0068"/>
    <w:rsid w:val="00DF4C46"/>
    <w:rsid w:val="00E00FB5"/>
    <w:rsid w:val="00E017F5"/>
    <w:rsid w:val="00E11A9E"/>
    <w:rsid w:val="00E22D8E"/>
    <w:rsid w:val="00E32D31"/>
    <w:rsid w:val="00E375C3"/>
    <w:rsid w:val="00E43F01"/>
    <w:rsid w:val="00E461DE"/>
    <w:rsid w:val="00E54316"/>
    <w:rsid w:val="00E87515"/>
    <w:rsid w:val="00E94FBD"/>
    <w:rsid w:val="00EA4A59"/>
    <w:rsid w:val="00EA742F"/>
    <w:rsid w:val="00EB26E2"/>
    <w:rsid w:val="00EC0073"/>
    <w:rsid w:val="00EC4648"/>
    <w:rsid w:val="00ED6CDD"/>
    <w:rsid w:val="00EE5C5F"/>
    <w:rsid w:val="00EF03E4"/>
    <w:rsid w:val="00EF1108"/>
    <w:rsid w:val="00EF2BFF"/>
    <w:rsid w:val="00EF6D77"/>
    <w:rsid w:val="00F0226F"/>
    <w:rsid w:val="00F05E01"/>
    <w:rsid w:val="00F17BDA"/>
    <w:rsid w:val="00F33E20"/>
    <w:rsid w:val="00F5331F"/>
    <w:rsid w:val="00F838F1"/>
    <w:rsid w:val="00F915DB"/>
    <w:rsid w:val="00FA080C"/>
    <w:rsid w:val="00FA63A8"/>
    <w:rsid w:val="00FB0964"/>
    <w:rsid w:val="00FB3142"/>
    <w:rsid w:val="00FD1CEB"/>
    <w:rsid w:val="00FD297C"/>
    <w:rsid w:val="00FD4577"/>
    <w:rsid w:val="00FE0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FDB0D"/>
  <w15:docId w15:val="{258B2C51-222A-487E-AA3C-65331F1F5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27B2E"/>
    <w:rPr>
      <w:sz w:val="24"/>
      <w:szCs w:val="24"/>
    </w:rPr>
  </w:style>
  <w:style w:type="paragraph" w:styleId="Heading1">
    <w:name w:val="heading 1"/>
    <w:basedOn w:val="Normal"/>
    <w:next w:val="Normal"/>
    <w:link w:val="Heading1Char"/>
    <w:autoRedefine/>
    <w:uiPriority w:val="9"/>
    <w:qFormat/>
    <w:rsid w:val="00BC4EE0"/>
    <w:pPr>
      <w:keepNext/>
      <w:keepLines/>
      <w:numPr>
        <w:numId w:val="17"/>
      </w:numPr>
      <w:spacing w:after="240"/>
      <w:ind w:hanging="720"/>
      <w:outlineLvl w:val="0"/>
    </w:pPr>
    <w:rPr>
      <w:rFonts w:ascii="Courier New" w:eastAsiaTheme="majorEastAsia" w:hAnsi="Courier New" w:cstheme="majorBidi"/>
      <w:b/>
      <w:bCs/>
      <w:szCs w:val="28"/>
    </w:rPr>
  </w:style>
  <w:style w:type="paragraph" w:styleId="Heading2">
    <w:name w:val="heading 2"/>
    <w:basedOn w:val="Normal"/>
    <w:next w:val="Normal"/>
    <w:link w:val="Heading2Char"/>
    <w:autoRedefine/>
    <w:uiPriority w:val="9"/>
    <w:unhideWhenUsed/>
    <w:qFormat/>
    <w:rsid w:val="0072288E"/>
    <w:pPr>
      <w:keepNext/>
      <w:keepLines/>
      <w:numPr>
        <w:numId w:val="20"/>
      </w:numPr>
      <w:spacing w:before="200"/>
      <w:outlineLvl w:val="1"/>
    </w:pPr>
    <w:rPr>
      <w:rFonts w:ascii="Courier New" w:eastAsiaTheme="majorEastAsia" w:hAnsi="Courier New" w:cstheme="majorBidi"/>
      <w:b/>
      <w:bCs/>
      <w:shd w:val="clear" w:color="auto" w:fill="FFFFFF"/>
    </w:rPr>
  </w:style>
  <w:style w:type="paragraph" w:styleId="Heading3">
    <w:name w:val="heading 3"/>
    <w:basedOn w:val="Normal"/>
    <w:next w:val="Normal"/>
    <w:link w:val="Heading3Char"/>
    <w:autoRedefine/>
    <w:uiPriority w:val="9"/>
    <w:unhideWhenUsed/>
    <w:qFormat/>
    <w:rsid w:val="0072288E"/>
    <w:pPr>
      <w:keepNext/>
      <w:keepLines/>
      <w:numPr>
        <w:numId w:val="19"/>
      </w:numPr>
      <w:spacing w:before="200"/>
      <w:outlineLvl w:val="2"/>
    </w:pPr>
    <w:rPr>
      <w:rFonts w:ascii="Courier New" w:eastAsiaTheme="majorEastAsia" w:hAnsi="Courier New" w:cstheme="majorBidi"/>
      <w:b/>
      <w:bCs/>
    </w:rPr>
  </w:style>
  <w:style w:type="paragraph" w:styleId="Heading4">
    <w:name w:val="heading 4"/>
    <w:next w:val="Cuerpo"/>
    <w:pPr>
      <w:keepNext/>
      <w:keepLines/>
      <w:spacing w:before="200"/>
      <w:outlineLvl w:val="3"/>
    </w:pPr>
    <w:rPr>
      <w:rFonts w:ascii="Courier New" w:hAnsi="Courier New" w:cs="Arial Unicode MS"/>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cabezadoypie">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680"/>
        <w:tab w:val="right" w:pos="9360"/>
      </w:tabs>
    </w:pPr>
    <w:rPr>
      <w:rFonts w:ascii="Calibri" w:hAnsi="Calibri" w:cs="Arial Unicode MS"/>
      <w:color w:val="000000"/>
      <w:sz w:val="24"/>
      <w:szCs w:val="24"/>
      <w:u w:color="000000"/>
    </w:rPr>
  </w:style>
  <w:style w:type="character" w:customStyle="1" w:styleId="Ninguno">
    <w:name w:val="Ninguno"/>
  </w:style>
  <w:style w:type="paragraph" w:customStyle="1" w:styleId="Cuerpo">
    <w:name w:val="Cuerpo"/>
    <w:rPr>
      <w:rFonts w:ascii="Calibri" w:hAnsi="Calibri" w:cs="Arial Unicode MS"/>
      <w:color w:val="000000"/>
      <w:sz w:val="24"/>
      <w:szCs w:val="24"/>
      <w:u w:color="000000"/>
      <w14:textOutline w14:w="0" w14:cap="flat" w14:cmpd="sng" w14:algn="ctr">
        <w14:noFill/>
        <w14:prstDash w14:val="solid"/>
        <w14:bevel/>
      </w14:textOutline>
    </w:rPr>
  </w:style>
  <w:style w:type="paragraph" w:customStyle="1" w:styleId="Ttulo2">
    <w:name w:val="Título 2"/>
    <w:next w:val="Cuerpo"/>
    <w:pPr>
      <w:keepNext/>
      <w:keepLines/>
      <w:spacing w:after="240"/>
      <w:outlineLvl w:val="1"/>
    </w:pPr>
    <w:rPr>
      <w:rFonts w:ascii="Courier New" w:hAnsi="Courier New" w:cs="Arial Unicode MS"/>
      <w:b/>
      <w:bCs/>
      <w:color w:val="000000"/>
      <w:sz w:val="24"/>
      <w:szCs w:val="24"/>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NoSpacing">
    <w:name w:val="No Spacing"/>
    <w:rPr>
      <w:rFonts w:ascii="Calibri" w:hAnsi="Calibri" w:cs="Arial Unicode MS"/>
      <w:color w:val="000000"/>
      <w:sz w:val="22"/>
      <w:szCs w:val="22"/>
      <w:u w:color="000000"/>
    </w:rPr>
  </w:style>
  <w:style w:type="paragraph" w:customStyle="1" w:styleId="Ttulo3">
    <w:name w:val="Título 3"/>
    <w:next w:val="Cuerpo"/>
    <w:pPr>
      <w:keepNext/>
      <w:keepLines/>
      <w:spacing w:before="120"/>
      <w:outlineLvl w:val="2"/>
    </w:pPr>
    <w:rPr>
      <w:rFonts w:ascii="Courier New" w:hAnsi="Courier New" w:cs="Arial Unicode MS"/>
      <w:b/>
      <w:bCs/>
      <w:color w:val="000000"/>
      <w:sz w:val="24"/>
      <w:szCs w:val="24"/>
      <w:u w:color="000000"/>
      <w14:textOutline w14:w="0" w14:cap="flat" w14:cmpd="sng" w14:algn="ctr">
        <w14:noFill/>
        <w14:prstDash w14:val="solid"/>
        <w14:bevel/>
      </w14:textOutline>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Lettered">
    <w:name w:val="Lettered"/>
    <w:pPr>
      <w:numPr>
        <w:numId w:val="9"/>
      </w:numPr>
    </w:pPr>
  </w:style>
  <w:style w:type="numbering" w:customStyle="1" w:styleId="Bullets">
    <w:name w:val="Bullets"/>
    <w:pPr>
      <w:numPr>
        <w:numId w:val="11"/>
      </w:numPr>
    </w:pPr>
  </w:style>
  <w:style w:type="paragraph" w:styleId="BodyText">
    <w:name w:val="Body Text"/>
    <w:pPr>
      <w:widowControl w:val="0"/>
      <w:spacing w:after="120"/>
      <w:jc w:val="both"/>
    </w:pPr>
    <w:rPr>
      <w:rFonts w:ascii="Courier New" w:eastAsia="Courier New" w:hAnsi="Courier New" w:cs="Courier New"/>
      <w:color w:val="000000"/>
      <w:kern w:val="2"/>
      <w:u w:color="000000"/>
    </w:rPr>
  </w:style>
  <w:style w:type="paragraph" w:styleId="ListParagraph">
    <w:name w:val="List Paragraph"/>
    <w:pPr>
      <w:widowControl w:val="0"/>
      <w:ind w:left="720"/>
      <w:jc w:val="both"/>
    </w:pPr>
    <w:rPr>
      <w:rFonts w:ascii="Courier New" w:hAnsi="Courier New" w:cs="Arial Unicode MS"/>
      <w:color w:val="000000"/>
      <w:kern w:val="2"/>
      <w:u w:color="000000"/>
    </w:rPr>
  </w:style>
  <w:style w:type="numbering" w:customStyle="1" w:styleId="ImportedStyle4">
    <w:name w:val="Imported Style 4"/>
    <w:pPr>
      <w:numPr>
        <w:numId w:val="14"/>
      </w:numPr>
    </w:pPr>
  </w:style>
  <w:style w:type="paragraph" w:styleId="Header">
    <w:name w:val="header"/>
    <w:basedOn w:val="Normal"/>
    <w:link w:val="HeaderChar"/>
    <w:uiPriority w:val="99"/>
    <w:unhideWhenUsed/>
    <w:rsid w:val="00591B58"/>
    <w:pPr>
      <w:tabs>
        <w:tab w:val="center" w:pos="4680"/>
        <w:tab w:val="right" w:pos="9360"/>
      </w:tabs>
    </w:pPr>
  </w:style>
  <w:style w:type="character" w:customStyle="1" w:styleId="HeaderChar">
    <w:name w:val="Header Char"/>
    <w:basedOn w:val="DefaultParagraphFont"/>
    <w:link w:val="Header"/>
    <w:uiPriority w:val="99"/>
    <w:rsid w:val="00591B58"/>
    <w:rPr>
      <w:sz w:val="24"/>
      <w:szCs w:val="24"/>
    </w:rPr>
  </w:style>
  <w:style w:type="character" w:customStyle="1" w:styleId="FooterChar">
    <w:name w:val="Footer Char"/>
    <w:basedOn w:val="DefaultParagraphFont"/>
    <w:link w:val="Footer"/>
    <w:uiPriority w:val="99"/>
    <w:rsid w:val="00591B58"/>
    <w:rPr>
      <w:rFonts w:ascii="Calibri" w:hAnsi="Calibri" w:cs="Arial Unicode MS"/>
      <w:color w:val="000000"/>
      <w:sz w:val="24"/>
      <w:szCs w:val="24"/>
      <w:u w:color="000000"/>
    </w:rPr>
  </w:style>
  <w:style w:type="character" w:customStyle="1" w:styleId="Heading1Char">
    <w:name w:val="Heading 1 Char"/>
    <w:basedOn w:val="DefaultParagraphFont"/>
    <w:link w:val="Heading1"/>
    <w:uiPriority w:val="9"/>
    <w:rsid w:val="00BC4EE0"/>
    <w:rPr>
      <w:rFonts w:ascii="Courier New" w:eastAsiaTheme="majorEastAsia" w:hAnsi="Courier New" w:cstheme="majorBidi"/>
      <w:b/>
      <w:bCs/>
      <w:sz w:val="24"/>
      <w:szCs w:val="28"/>
    </w:rPr>
  </w:style>
  <w:style w:type="character" w:customStyle="1" w:styleId="Heading2Char">
    <w:name w:val="Heading 2 Char"/>
    <w:basedOn w:val="DefaultParagraphFont"/>
    <w:link w:val="Heading2"/>
    <w:uiPriority w:val="9"/>
    <w:rsid w:val="0072288E"/>
    <w:rPr>
      <w:rFonts w:ascii="Courier New" w:eastAsiaTheme="majorEastAsia" w:hAnsi="Courier New" w:cstheme="majorBidi"/>
      <w:b/>
      <w:bCs/>
      <w:sz w:val="24"/>
      <w:szCs w:val="24"/>
    </w:rPr>
  </w:style>
  <w:style w:type="character" w:customStyle="1" w:styleId="Heading3Char">
    <w:name w:val="Heading 3 Char"/>
    <w:basedOn w:val="DefaultParagraphFont"/>
    <w:link w:val="Heading3"/>
    <w:uiPriority w:val="9"/>
    <w:rsid w:val="0072288E"/>
    <w:rPr>
      <w:rFonts w:ascii="Courier New" w:eastAsiaTheme="majorEastAsia" w:hAnsi="Courier New" w:cstheme="majorBidi"/>
      <w:b/>
      <w:bCs/>
      <w:sz w:val="24"/>
      <w:szCs w:val="24"/>
    </w:rPr>
  </w:style>
  <w:style w:type="paragraph" w:styleId="BalloonText">
    <w:name w:val="Balloon Text"/>
    <w:basedOn w:val="Normal"/>
    <w:link w:val="BalloonTextChar"/>
    <w:uiPriority w:val="99"/>
    <w:semiHidden/>
    <w:unhideWhenUsed/>
    <w:rsid w:val="008F5C35"/>
    <w:rPr>
      <w:rFonts w:ascii="Tahoma" w:hAnsi="Tahoma" w:cs="Tahoma"/>
      <w:sz w:val="16"/>
      <w:szCs w:val="16"/>
    </w:rPr>
  </w:style>
  <w:style w:type="character" w:customStyle="1" w:styleId="BalloonTextChar">
    <w:name w:val="Balloon Text Char"/>
    <w:basedOn w:val="DefaultParagraphFont"/>
    <w:link w:val="BalloonText"/>
    <w:uiPriority w:val="99"/>
    <w:semiHidden/>
    <w:rsid w:val="008F5C35"/>
    <w:rPr>
      <w:rFonts w:ascii="Tahoma" w:hAnsi="Tahoma" w:cs="Tahoma"/>
      <w:sz w:val="16"/>
      <w:szCs w:val="16"/>
    </w:rPr>
  </w:style>
  <w:style w:type="character" w:styleId="CommentReference">
    <w:name w:val="annotation reference"/>
    <w:basedOn w:val="DefaultParagraphFont"/>
    <w:uiPriority w:val="99"/>
    <w:semiHidden/>
    <w:unhideWhenUsed/>
    <w:rsid w:val="007C4ACF"/>
    <w:rPr>
      <w:sz w:val="16"/>
      <w:szCs w:val="16"/>
    </w:rPr>
  </w:style>
  <w:style w:type="paragraph" w:styleId="CommentText">
    <w:name w:val="annotation text"/>
    <w:basedOn w:val="Normal"/>
    <w:link w:val="CommentTextChar"/>
    <w:uiPriority w:val="99"/>
    <w:semiHidden/>
    <w:unhideWhenUsed/>
    <w:rsid w:val="007C4ACF"/>
    <w:rPr>
      <w:sz w:val="20"/>
      <w:szCs w:val="20"/>
    </w:rPr>
  </w:style>
  <w:style w:type="character" w:customStyle="1" w:styleId="CommentTextChar">
    <w:name w:val="Comment Text Char"/>
    <w:basedOn w:val="DefaultParagraphFont"/>
    <w:link w:val="CommentText"/>
    <w:uiPriority w:val="99"/>
    <w:semiHidden/>
    <w:rsid w:val="007C4ACF"/>
  </w:style>
  <w:style w:type="paragraph" w:styleId="CommentSubject">
    <w:name w:val="annotation subject"/>
    <w:basedOn w:val="CommentText"/>
    <w:next w:val="CommentText"/>
    <w:link w:val="CommentSubjectChar"/>
    <w:uiPriority w:val="99"/>
    <w:semiHidden/>
    <w:unhideWhenUsed/>
    <w:rsid w:val="007C4ACF"/>
    <w:rPr>
      <w:b/>
      <w:bCs/>
    </w:rPr>
  </w:style>
  <w:style w:type="character" w:customStyle="1" w:styleId="CommentSubjectChar">
    <w:name w:val="Comment Subject Char"/>
    <w:basedOn w:val="CommentTextChar"/>
    <w:link w:val="CommentSubject"/>
    <w:uiPriority w:val="99"/>
    <w:semiHidden/>
    <w:rsid w:val="007C4ACF"/>
    <w:rPr>
      <w:b/>
      <w:bCs/>
    </w:rPr>
  </w:style>
  <w:style w:type="character" w:customStyle="1" w:styleId="counderline">
    <w:name w:val="co_underline"/>
    <w:basedOn w:val="DefaultParagraphFont"/>
    <w:rsid w:val="00C75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255516">
      <w:bodyDiv w:val="1"/>
      <w:marLeft w:val="0"/>
      <w:marRight w:val="0"/>
      <w:marTop w:val="0"/>
      <w:marBottom w:val="0"/>
      <w:divBdr>
        <w:top w:val="none" w:sz="0" w:space="0" w:color="auto"/>
        <w:left w:val="none" w:sz="0" w:space="0" w:color="auto"/>
        <w:bottom w:val="none" w:sz="0" w:space="0" w:color="auto"/>
        <w:right w:val="none" w:sz="0" w:space="0" w:color="auto"/>
      </w:divBdr>
    </w:div>
    <w:div w:id="1160804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4103D-EF31-4534-8575-5CBBC8E39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2171</Words>
  <Characters>12380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CPCS</Company>
  <LinksUpToDate>false</LinksUpToDate>
  <CharactersWithSpaces>14522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Devorah Borenstein</dc:creator>
  <cp:lastModifiedBy>Courtney Dunn</cp:lastModifiedBy>
  <cp:revision>2</cp:revision>
  <dcterms:created xsi:type="dcterms:W3CDTF">2020-11-06T13:03:00Z</dcterms:created>
  <dcterms:modified xsi:type="dcterms:W3CDTF">2020-11-06T13:03:00Z</dcterms:modified>
</cp:coreProperties>
</file>